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14B18">
      <w:pPr>
        <w:spacing w:line="1200" w:lineRule="exact"/>
        <w:ind w:left="0" w:leftChars="0" w:firstLine="0" w:firstLineChars="0"/>
        <w:jc w:val="both"/>
        <w:rPr>
          <w:rFonts w:ascii="宋体" w:hAnsi="宋体"/>
          <w:b/>
          <w:bCs/>
          <w:spacing w:val="-20"/>
          <w:sz w:val="72"/>
          <w:szCs w:val="72"/>
          <w:highlight w:val="none"/>
        </w:rPr>
      </w:pPr>
    </w:p>
    <w:p w14:paraId="2F32A223">
      <w:pPr>
        <w:pStyle w:val="10"/>
        <w:rPr>
          <w:highlight w:val="none"/>
        </w:rPr>
      </w:pPr>
    </w:p>
    <w:p w14:paraId="6634445C">
      <w:pPr>
        <w:pStyle w:val="11"/>
        <w:spacing w:line="1200" w:lineRule="exact"/>
        <w:ind w:firstLine="0" w:firstLineChars="0"/>
        <w:jc w:val="center"/>
        <w:rPr>
          <w:rFonts w:ascii="宋体" w:eastAsia="宋体" w:cs="宋体"/>
          <w:b/>
          <w:bCs/>
          <w:sz w:val="72"/>
          <w:szCs w:val="72"/>
          <w:highlight w:val="none"/>
        </w:rPr>
      </w:pPr>
      <w:r>
        <w:rPr>
          <w:rFonts w:hint="eastAsia" w:ascii="宋体" w:eastAsia="宋体" w:cs="宋体"/>
          <w:b/>
          <w:bCs/>
          <w:sz w:val="72"/>
          <w:szCs w:val="72"/>
          <w:highlight w:val="none"/>
        </w:rPr>
        <w:t>竞争性磋商文件</w:t>
      </w:r>
    </w:p>
    <w:p w14:paraId="3A0E58AA">
      <w:pPr>
        <w:spacing w:line="700" w:lineRule="exact"/>
        <w:rPr>
          <w:rFonts w:ascii="新宋体" w:hAnsi="新宋体" w:eastAsia="新宋体"/>
          <w:b/>
          <w:sz w:val="28"/>
          <w:szCs w:val="28"/>
          <w:highlight w:val="none"/>
        </w:rPr>
      </w:pPr>
    </w:p>
    <w:p w14:paraId="241E9545">
      <w:pPr>
        <w:spacing w:line="700" w:lineRule="exact"/>
        <w:rPr>
          <w:rFonts w:ascii="新宋体" w:hAnsi="新宋体" w:eastAsia="新宋体"/>
          <w:b/>
          <w:sz w:val="28"/>
          <w:szCs w:val="28"/>
          <w:highlight w:val="none"/>
        </w:rPr>
      </w:pPr>
    </w:p>
    <w:p w14:paraId="55F5DC5A">
      <w:pPr>
        <w:spacing w:line="700" w:lineRule="exact"/>
        <w:rPr>
          <w:rFonts w:ascii="新宋体" w:hAnsi="新宋体" w:eastAsia="新宋体"/>
          <w:b/>
          <w:sz w:val="28"/>
          <w:szCs w:val="28"/>
          <w:highlight w:val="none"/>
        </w:rPr>
      </w:pPr>
    </w:p>
    <w:p w14:paraId="6BA7810E">
      <w:pPr>
        <w:pStyle w:val="30"/>
        <w:rPr>
          <w:highlight w:val="none"/>
        </w:rPr>
      </w:pPr>
    </w:p>
    <w:p w14:paraId="41C6EFA1">
      <w:pPr>
        <w:spacing w:line="700" w:lineRule="exact"/>
        <w:rPr>
          <w:rFonts w:ascii="新宋体" w:hAnsi="新宋体" w:eastAsia="新宋体"/>
          <w:b/>
          <w:sz w:val="28"/>
          <w:szCs w:val="28"/>
          <w:highlight w:val="none"/>
        </w:rPr>
      </w:pPr>
    </w:p>
    <w:p w14:paraId="76B9A1E2">
      <w:pPr>
        <w:spacing w:line="360" w:lineRule="auto"/>
        <w:jc w:val="both"/>
        <w:rPr>
          <w:rFonts w:hint="eastAsia" w:ascii="新宋体" w:hAnsi="新宋体" w:eastAsia="新宋体"/>
          <w:b/>
          <w:sz w:val="36"/>
          <w:szCs w:val="36"/>
          <w:highlight w:val="none"/>
          <w:lang w:eastAsia="zh-CN"/>
        </w:rPr>
      </w:pPr>
      <w:r>
        <w:rPr>
          <w:rFonts w:hint="eastAsia" w:ascii="新宋体" w:hAnsi="新宋体" w:eastAsia="新宋体"/>
          <w:b/>
          <w:sz w:val="36"/>
          <w:szCs w:val="36"/>
          <w:highlight w:val="none"/>
          <w:lang w:eastAsia="zh-CN"/>
        </w:rPr>
        <w:t>项目编号：</w:t>
      </w:r>
      <w:r>
        <w:rPr>
          <w:rFonts w:hint="eastAsia" w:ascii="新宋体" w:hAnsi="新宋体" w:eastAsia="新宋体"/>
          <w:b/>
          <w:sz w:val="36"/>
          <w:szCs w:val="36"/>
          <w:highlight w:val="none"/>
          <w:lang w:val="en-US" w:eastAsia="zh-CN"/>
        </w:rPr>
        <w:t>SLSK【CS】2025001</w:t>
      </w:r>
    </w:p>
    <w:p w14:paraId="53ECFAC1">
      <w:pPr>
        <w:spacing w:line="360" w:lineRule="auto"/>
        <w:jc w:val="both"/>
        <w:rPr>
          <w:rFonts w:hint="eastAsia" w:ascii="新宋体" w:hAnsi="新宋体" w:eastAsia="新宋体"/>
          <w:b/>
          <w:sz w:val="36"/>
          <w:szCs w:val="36"/>
          <w:highlight w:val="none"/>
          <w:u w:val="single"/>
          <w:lang w:eastAsia="zh-CN"/>
        </w:rPr>
      </w:pPr>
      <w:r>
        <w:rPr>
          <w:rFonts w:hint="eastAsia" w:ascii="新宋体" w:hAnsi="新宋体" w:eastAsia="新宋体"/>
          <w:b/>
          <w:sz w:val="36"/>
          <w:szCs w:val="36"/>
          <w:highlight w:val="none"/>
        </w:rPr>
        <w:t>项目名称：</w:t>
      </w:r>
      <w:r>
        <w:rPr>
          <w:rFonts w:hint="eastAsia" w:ascii="新宋体" w:hAnsi="新宋体" w:eastAsia="新宋体"/>
          <w:b/>
          <w:sz w:val="36"/>
          <w:szCs w:val="36"/>
          <w:highlight w:val="none"/>
          <w:lang w:eastAsia="zh-CN"/>
        </w:rPr>
        <w:t>项目软件技术开发服务</w:t>
      </w:r>
    </w:p>
    <w:p w14:paraId="2F25684D">
      <w:pPr>
        <w:spacing w:line="360" w:lineRule="auto"/>
        <w:jc w:val="both"/>
        <w:rPr>
          <w:rFonts w:hint="eastAsia" w:ascii="新宋体" w:hAnsi="新宋体" w:eastAsia="新宋体"/>
          <w:b/>
          <w:sz w:val="36"/>
          <w:szCs w:val="36"/>
          <w:highlight w:val="none"/>
          <w:lang w:eastAsia="zh-CN"/>
        </w:rPr>
      </w:pPr>
      <w:r>
        <w:rPr>
          <w:rFonts w:hint="eastAsia" w:ascii="新宋体" w:hAnsi="新宋体" w:eastAsia="新宋体"/>
          <w:b/>
          <w:sz w:val="36"/>
          <w:szCs w:val="36"/>
          <w:highlight w:val="none"/>
        </w:rPr>
        <w:t>采购单位：</w:t>
      </w:r>
      <w:r>
        <w:rPr>
          <w:rFonts w:hint="eastAsia" w:ascii="新宋体" w:hAnsi="新宋体" w:eastAsia="新宋体"/>
          <w:b/>
          <w:sz w:val="36"/>
          <w:szCs w:val="36"/>
          <w:highlight w:val="none"/>
          <w:lang w:eastAsia="zh-CN"/>
        </w:rPr>
        <w:t>福建省穗龙数字科技有限公司</w:t>
      </w:r>
    </w:p>
    <w:p w14:paraId="19333564">
      <w:pPr>
        <w:spacing w:line="500" w:lineRule="exact"/>
        <w:jc w:val="center"/>
        <w:rPr>
          <w:rFonts w:ascii="新宋体" w:hAnsi="新宋体" w:eastAsia="新宋体"/>
          <w:b/>
          <w:sz w:val="32"/>
          <w:szCs w:val="32"/>
          <w:highlight w:val="none"/>
        </w:rPr>
      </w:pPr>
    </w:p>
    <w:p w14:paraId="687CA9FA">
      <w:pPr>
        <w:spacing w:line="500" w:lineRule="exact"/>
        <w:rPr>
          <w:rFonts w:ascii="新宋体" w:hAnsi="新宋体" w:eastAsia="新宋体"/>
          <w:b/>
          <w:sz w:val="32"/>
          <w:szCs w:val="32"/>
          <w:highlight w:val="none"/>
        </w:rPr>
      </w:pPr>
    </w:p>
    <w:p w14:paraId="48ED0828">
      <w:pPr>
        <w:spacing w:line="500" w:lineRule="exact"/>
        <w:jc w:val="center"/>
        <w:rPr>
          <w:rFonts w:ascii="新宋体" w:hAnsi="新宋体" w:eastAsia="新宋体"/>
          <w:b/>
          <w:sz w:val="32"/>
          <w:szCs w:val="32"/>
          <w:highlight w:val="none"/>
        </w:rPr>
      </w:pPr>
    </w:p>
    <w:p w14:paraId="179143F9">
      <w:pPr>
        <w:pStyle w:val="10"/>
        <w:rPr>
          <w:rFonts w:ascii="新宋体" w:hAnsi="新宋体" w:eastAsia="新宋体"/>
          <w:b/>
          <w:sz w:val="32"/>
          <w:szCs w:val="32"/>
          <w:highlight w:val="none"/>
        </w:rPr>
      </w:pPr>
    </w:p>
    <w:p w14:paraId="7D2A9F85">
      <w:pPr>
        <w:spacing w:line="500" w:lineRule="exact"/>
        <w:jc w:val="both"/>
        <w:rPr>
          <w:rFonts w:ascii="新宋体" w:hAnsi="新宋体" w:eastAsia="新宋体"/>
          <w:b/>
          <w:sz w:val="32"/>
          <w:szCs w:val="32"/>
          <w:highlight w:val="none"/>
        </w:rPr>
      </w:pPr>
    </w:p>
    <w:p w14:paraId="6292BB98">
      <w:pPr>
        <w:spacing w:line="500" w:lineRule="exact"/>
        <w:jc w:val="center"/>
        <w:rPr>
          <w:rFonts w:hint="eastAsia" w:ascii="新宋体" w:hAnsi="新宋体" w:eastAsia="新宋体"/>
          <w:b/>
          <w:sz w:val="32"/>
          <w:szCs w:val="32"/>
          <w:highlight w:val="none"/>
        </w:rPr>
      </w:pPr>
    </w:p>
    <w:p w14:paraId="50D41AFD">
      <w:pPr>
        <w:spacing w:line="500" w:lineRule="exact"/>
        <w:jc w:val="center"/>
        <w:rPr>
          <w:rFonts w:hint="eastAsia" w:ascii="新宋体" w:hAnsi="新宋体" w:eastAsia="新宋体"/>
          <w:b/>
          <w:sz w:val="32"/>
          <w:szCs w:val="32"/>
          <w:highlight w:val="none"/>
        </w:rPr>
      </w:pPr>
    </w:p>
    <w:p w14:paraId="4150CF43">
      <w:pPr>
        <w:spacing w:line="500" w:lineRule="exact"/>
        <w:ind w:left="0" w:leftChars="0" w:firstLine="0" w:firstLineChars="0"/>
        <w:jc w:val="both"/>
        <w:rPr>
          <w:rFonts w:hint="eastAsia" w:ascii="新宋体" w:hAnsi="新宋体" w:eastAsia="新宋体"/>
          <w:b/>
          <w:sz w:val="32"/>
          <w:szCs w:val="32"/>
          <w:highlight w:val="none"/>
        </w:rPr>
      </w:pPr>
    </w:p>
    <w:p w14:paraId="370961EC">
      <w:pPr>
        <w:spacing w:line="500" w:lineRule="exact"/>
        <w:ind w:left="0" w:leftChars="0" w:firstLine="0" w:firstLineChars="0"/>
        <w:jc w:val="both"/>
        <w:rPr>
          <w:rFonts w:hint="eastAsia" w:ascii="新宋体" w:hAnsi="新宋体" w:eastAsia="新宋体"/>
          <w:b/>
          <w:sz w:val="32"/>
          <w:szCs w:val="32"/>
          <w:highlight w:val="none"/>
        </w:rPr>
      </w:pPr>
    </w:p>
    <w:p w14:paraId="71F91F8E">
      <w:pPr>
        <w:spacing w:line="500" w:lineRule="exact"/>
        <w:ind w:left="0" w:leftChars="0" w:firstLine="0" w:firstLineChars="0"/>
        <w:jc w:val="center"/>
        <w:rPr>
          <w:rFonts w:ascii="新宋体" w:hAnsi="新宋体" w:eastAsia="新宋体"/>
          <w:b/>
          <w:sz w:val="32"/>
          <w:szCs w:val="32"/>
          <w:highlight w:val="none"/>
          <w:u w:val="single"/>
        </w:rPr>
      </w:pPr>
      <w:r>
        <w:rPr>
          <w:rFonts w:hint="eastAsia" w:ascii="新宋体" w:hAnsi="新宋体" w:eastAsia="新宋体"/>
          <w:b/>
          <w:sz w:val="32"/>
          <w:szCs w:val="32"/>
          <w:highlight w:val="none"/>
        </w:rPr>
        <w:t>二0二</w:t>
      </w:r>
      <w:r>
        <w:rPr>
          <w:rFonts w:hint="eastAsia" w:ascii="新宋体" w:hAnsi="新宋体" w:eastAsia="新宋体"/>
          <w:b/>
          <w:sz w:val="32"/>
          <w:szCs w:val="32"/>
          <w:highlight w:val="none"/>
          <w:lang w:val="en-US" w:eastAsia="zh-CN"/>
        </w:rPr>
        <w:t>五</w:t>
      </w:r>
      <w:r>
        <w:rPr>
          <w:rFonts w:hint="eastAsia" w:ascii="新宋体" w:hAnsi="新宋体" w:eastAsia="新宋体"/>
          <w:b/>
          <w:sz w:val="32"/>
          <w:szCs w:val="32"/>
          <w:highlight w:val="none"/>
        </w:rPr>
        <w:t>年</w:t>
      </w:r>
      <w:r>
        <w:rPr>
          <w:rFonts w:hint="eastAsia" w:ascii="新宋体" w:hAnsi="新宋体" w:eastAsia="新宋体"/>
          <w:b/>
          <w:sz w:val="32"/>
          <w:szCs w:val="32"/>
          <w:highlight w:val="none"/>
          <w:lang w:eastAsia="zh-CN"/>
        </w:rPr>
        <w:t>三</w:t>
      </w:r>
      <w:r>
        <w:rPr>
          <w:rFonts w:hint="eastAsia" w:ascii="新宋体" w:hAnsi="新宋体" w:eastAsia="新宋体"/>
          <w:b/>
          <w:sz w:val="32"/>
          <w:szCs w:val="32"/>
          <w:highlight w:val="none"/>
        </w:rPr>
        <w:t>月</w:t>
      </w:r>
    </w:p>
    <w:p w14:paraId="60061C48">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ascii="宋体" w:hAnsi="宋体" w:eastAsia="宋体" w:cs="Times New Roman"/>
          <w:kern w:val="2"/>
          <w:sz w:val="21"/>
          <w:szCs w:val="24"/>
          <w:highlight w:val="none"/>
          <w:lang w:val="en-US" w:eastAsia="zh-CN" w:bidi="ar-SA"/>
        </w:rPr>
        <w:sectPr>
          <w:headerReference r:id="rId5" w:type="default"/>
          <w:footerReference r:id="rId6" w:type="default"/>
          <w:footerReference r:id="rId7" w:type="even"/>
          <w:type w:val="continuous"/>
          <w:pgSz w:w="11907" w:h="16840"/>
          <w:pgMar w:top="1440" w:right="1440" w:bottom="1440" w:left="1440" w:header="851" w:footer="992" w:gutter="0"/>
          <w:cols w:space="720" w:num="1"/>
          <w:docGrid w:linePitch="323" w:charSpace="0"/>
        </w:sectPr>
      </w:pPr>
    </w:p>
    <w:sdt>
      <w:sdtPr>
        <w:rPr>
          <w:rFonts w:ascii="宋体" w:hAnsi="宋体" w:eastAsia="宋体" w:cs="Times New Roman"/>
          <w:kern w:val="2"/>
          <w:sz w:val="21"/>
          <w:szCs w:val="24"/>
          <w:highlight w:val="none"/>
          <w:lang w:val="en-US" w:eastAsia="zh-CN" w:bidi="ar-SA"/>
        </w:rPr>
        <w:id w:val="147451244"/>
        <w15:color w:val="DBDBDB"/>
        <w:docPartObj>
          <w:docPartGallery w:val="Table of Contents"/>
          <w:docPartUnique/>
        </w:docPartObj>
      </w:sdtPr>
      <w:sdtEndPr>
        <w:rPr>
          <w:rFonts w:ascii="Times New Roman" w:hAnsi="Times New Roman" w:eastAsia="宋体" w:cs="Times New Roman"/>
          <w:kern w:val="2"/>
          <w:sz w:val="21"/>
          <w:szCs w:val="24"/>
          <w:highlight w:val="none"/>
          <w:lang w:val="zh-CN" w:eastAsia="zh-CN" w:bidi="ar-SA"/>
        </w:rPr>
      </w:sdtEndPr>
      <w:sdtContent>
        <w:p w14:paraId="767DE1A2">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目录</w:t>
          </w:r>
        </w:p>
        <w:p w14:paraId="72165AF7">
          <w:pPr>
            <w:pStyle w:val="15"/>
            <w:tabs>
              <w:tab w:val="right" w:leader="dot" w:pos="9027"/>
              <w:tab w:val="clear" w:pos="9628"/>
            </w:tabs>
          </w:pPr>
          <w:r>
            <w:rPr>
              <w:rFonts w:hint="eastAsia" w:asciiTheme="minorEastAsia" w:hAnsiTheme="minorEastAsia" w:eastAsiaTheme="minorEastAsia" w:cstheme="minorEastAsia"/>
              <w:b/>
              <w:bCs/>
              <w:sz w:val="28"/>
              <w:szCs w:val="28"/>
              <w:highlight w:val="none"/>
              <w:lang w:val="zh-CN"/>
            </w:rPr>
            <w:fldChar w:fldCharType="begin"/>
          </w:r>
          <w:r>
            <w:rPr>
              <w:rFonts w:hint="eastAsia" w:asciiTheme="minorEastAsia" w:hAnsiTheme="minorEastAsia" w:eastAsiaTheme="minorEastAsia" w:cstheme="minorEastAsia"/>
              <w:b/>
              <w:bCs/>
              <w:sz w:val="28"/>
              <w:szCs w:val="28"/>
              <w:highlight w:val="none"/>
              <w:lang w:val="zh-CN"/>
            </w:rPr>
            <w:instrText xml:space="preserve">TOC \o "1-1" \h \u </w:instrText>
          </w:r>
          <w:r>
            <w:rPr>
              <w:rFonts w:hint="eastAsia" w:asciiTheme="minorEastAsia" w:hAnsiTheme="minorEastAsia" w:eastAsiaTheme="minorEastAsia" w:cstheme="minorEastAsia"/>
              <w:b/>
              <w:bCs/>
              <w:sz w:val="28"/>
              <w:szCs w:val="28"/>
              <w:highlight w:val="none"/>
              <w:lang w:val="zh-CN"/>
            </w:rPr>
            <w:fldChar w:fldCharType="separate"/>
          </w:r>
          <w:r>
            <w:rPr>
              <w:rFonts w:hint="eastAsia" w:asciiTheme="minorEastAsia" w:hAnsiTheme="minorEastAsia" w:eastAsiaTheme="minorEastAsia" w:cstheme="minorEastAsia"/>
              <w:bCs/>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_Toc8997 </w:instrText>
          </w:r>
          <w:r>
            <w:rPr>
              <w:rFonts w:hint="eastAsia" w:asciiTheme="minorEastAsia" w:hAnsiTheme="minorEastAsia" w:eastAsiaTheme="minorEastAsia" w:cstheme="minorEastAsia"/>
              <w:bCs/>
              <w:szCs w:val="28"/>
              <w:highlight w:val="none"/>
              <w:lang w:val="zh-CN"/>
            </w:rPr>
            <w:fldChar w:fldCharType="separate"/>
          </w:r>
          <w:r>
            <w:rPr>
              <w:rFonts w:hint="eastAsia" w:asciiTheme="minorEastAsia" w:hAnsiTheme="minorEastAsia" w:eastAsiaTheme="minorEastAsia" w:cstheme="minorEastAsia"/>
              <w:szCs w:val="32"/>
              <w:highlight w:val="none"/>
            </w:rPr>
            <w:t>第一章  磋商邀请</w:t>
          </w:r>
          <w:r>
            <w:tab/>
          </w:r>
          <w:r>
            <w:fldChar w:fldCharType="begin"/>
          </w:r>
          <w:r>
            <w:instrText xml:space="preserve"> PAGEREF _Toc8997 \h </w:instrText>
          </w:r>
          <w:r>
            <w:fldChar w:fldCharType="separate"/>
          </w:r>
          <w:r>
            <w:t>1</w:t>
          </w:r>
          <w:r>
            <w:fldChar w:fldCharType="end"/>
          </w:r>
          <w:r>
            <w:rPr>
              <w:rFonts w:hint="eastAsia" w:asciiTheme="minorEastAsia" w:hAnsiTheme="minorEastAsia" w:eastAsiaTheme="minorEastAsia" w:cstheme="minorEastAsia"/>
              <w:bCs/>
              <w:szCs w:val="28"/>
              <w:highlight w:val="none"/>
              <w:lang w:val="zh-CN"/>
            </w:rPr>
            <w:fldChar w:fldCharType="end"/>
          </w:r>
        </w:p>
        <w:p w14:paraId="06856B01">
          <w:pPr>
            <w:pStyle w:val="15"/>
            <w:tabs>
              <w:tab w:val="right" w:leader="dot" w:pos="9027"/>
              <w:tab w:val="clear" w:pos="9628"/>
            </w:tabs>
          </w:pPr>
          <w:r>
            <w:rPr>
              <w:rFonts w:hint="eastAsia" w:asciiTheme="minorEastAsia" w:hAnsiTheme="minorEastAsia" w:eastAsiaTheme="minorEastAsia" w:cstheme="minorEastAsia"/>
              <w:bCs/>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_Toc18830 </w:instrText>
          </w:r>
          <w:r>
            <w:rPr>
              <w:rFonts w:hint="eastAsia" w:asciiTheme="minorEastAsia" w:hAnsiTheme="minorEastAsia" w:eastAsiaTheme="minorEastAsia" w:cstheme="minorEastAsia"/>
              <w:bCs/>
              <w:szCs w:val="28"/>
              <w:highlight w:val="none"/>
              <w:lang w:val="zh-CN"/>
            </w:rPr>
            <w:fldChar w:fldCharType="separate"/>
          </w:r>
          <w:r>
            <w:rPr>
              <w:rFonts w:hint="eastAsia" w:asciiTheme="minorEastAsia" w:hAnsiTheme="minorEastAsia" w:eastAsiaTheme="minorEastAsia" w:cstheme="minorEastAsia"/>
              <w:highlight w:val="none"/>
            </w:rPr>
            <w:t>第二章  磋商投标人须知</w:t>
          </w:r>
          <w:r>
            <w:tab/>
          </w:r>
          <w:r>
            <w:fldChar w:fldCharType="begin"/>
          </w:r>
          <w:r>
            <w:instrText xml:space="preserve"> PAGEREF _Toc18830 \h </w:instrText>
          </w:r>
          <w:r>
            <w:fldChar w:fldCharType="separate"/>
          </w:r>
          <w:r>
            <w:t>4</w:t>
          </w:r>
          <w:r>
            <w:fldChar w:fldCharType="end"/>
          </w:r>
          <w:r>
            <w:rPr>
              <w:rFonts w:hint="eastAsia" w:asciiTheme="minorEastAsia" w:hAnsiTheme="minorEastAsia" w:eastAsiaTheme="minorEastAsia" w:cstheme="minorEastAsia"/>
              <w:bCs/>
              <w:szCs w:val="28"/>
              <w:highlight w:val="none"/>
              <w:lang w:val="zh-CN"/>
            </w:rPr>
            <w:fldChar w:fldCharType="end"/>
          </w:r>
        </w:p>
        <w:p w14:paraId="0FB36A68">
          <w:pPr>
            <w:pStyle w:val="15"/>
            <w:tabs>
              <w:tab w:val="right" w:leader="dot" w:pos="9027"/>
              <w:tab w:val="clear" w:pos="9628"/>
            </w:tabs>
          </w:pPr>
          <w:r>
            <w:rPr>
              <w:rFonts w:hint="eastAsia" w:asciiTheme="minorEastAsia" w:hAnsiTheme="minorEastAsia" w:eastAsiaTheme="minorEastAsia" w:cstheme="minorEastAsia"/>
              <w:bCs/>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_Toc26499 </w:instrText>
          </w:r>
          <w:r>
            <w:rPr>
              <w:rFonts w:hint="eastAsia" w:asciiTheme="minorEastAsia" w:hAnsiTheme="minorEastAsia" w:eastAsiaTheme="minorEastAsia" w:cstheme="minorEastAsia"/>
              <w:bCs/>
              <w:szCs w:val="28"/>
              <w:highlight w:val="none"/>
              <w:lang w:val="zh-CN"/>
            </w:rPr>
            <w:fldChar w:fldCharType="separate"/>
          </w:r>
          <w:r>
            <w:rPr>
              <w:rFonts w:hint="eastAsia"/>
              <w:szCs w:val="32"/>
            </w:rPr>
            <w:t xml:space="preserve">第三章 </w:t>
          </w:r>
          <w:r>
            <w:rPr>
              <w:rFonts w:hint="eastAsia"/>
              <w:szCs w:val="32"/>
              <w:highlight w:val="none"/>
            </w:rPr>
            <w:t>磋商内容与技术要求</w:t>
          </w:r>
          <w:r>
            <w:tab/>
          </w:r>
          <w:r>
            <w:fldChar w:fldCharType="begin"/>
          </w:r>
          <w:r>
            <w:instrText xml:space="preserve"> PAGEREF _Toc26499 \h </w:instrText>
          </w:r>
          <w:r>
            <w:fldChar w:fldCharType="separate"/>
          </w:r>
          <w:r>
            <w:t>24</w:t>
          </w:r>
          <w:r>
            <w:fldChar w:fldCharType="end"/>
          </w:r>
          <w:r>
            <w:rPr>
              <w:rFonts w:hint="eastAsia" w:asciiTheme="minorEastAsia" w:hAnsiTheme="minorEastAsia" w:eastAsiaTheme="minorEastAsia" w:cstheme="minorEastAsia"/>
              <w:bCs/>
              <w:szCs w:val="28"/>
              <w:highlight w:val="none"/>
              <w:lang w:val="zh-CN"/>
            </w:rPr>
            <w:fldChar w:fldCharType="end"/>
          </w:r>
        </w:p>
        <w:p w14:paraId="166A7517">
          <w:pPr>
            <w:pStyle w:val="15"/>
            <w:tabs>
              <w:tab w:val="right" w:leader="dot" w:pos="9027"/>
              <w:tab w:val="clear" w:pos="9628"/>
            </w:tabs>
          </w:pPr>
          <w:r>
            <w:rPr>
              <w:rFonts w:hint="eastAsia" w:asciiTheme="minorEastAsia" w:hAnsiTheme="minorEastAsia" w:eastAsiaTheme="minorEastAsia" w:cstheme="minorEastAsia"/>
              <w:bCs/>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_Toc19395 </w:instrText>
          </w:r>
          <w:r>
            <w:rPr>
              <w:rFonts w:hint="eastAsia" w:asciiTheme="minorEastAsia" w:hAnsiTheme="minorEastAsia" w:eastAsiaTheme="minorEastAsia" w:cstheme="minorEastAsia"/>
              <w:bCs/>
              <w:szCs w:val="28"/>
              <w:highlight w:val="none"/>
              <w:lang w:val="zh-CN"/>
            </w:rPr>
            <w:fldChar w:fldCharType="separate"/>
          </w:r>
          <w:r>
            <w:rPr>
              <w:rFonts w:hint="eastAsia"/>
              <w:szCs w:val="32"/>
              <w:highlight w:val="none"/>
            </w:rPr>
            <w:t>第四章</w:t>
          </w:r>
          <w:r>
            <w:rPr>
              <w:rFonts w:hint="eastAsia"/>
              <w:szCs w:val="32"/>
              <w:highlight w:val="none"/>
              <w:lang w:val="en-US" w:eastAsia="zh-CN"/>
            </w:rPr>
            <w:t xml:space="preserve"> </w:t>
          </w:r>
          <w:r>
            <w:rPr>
              <w:rFonts w:hint="eastAsia"/>
              <w:szCs w:val="32"/>
              <w:highlight w:val="none"/>
            </w:rPr>
            <w:t>采购合同（参考文本）</w:t>
          </w:r>
          <w:r>
            <w:tab/>
          </w:r>
          <w:r>
            <w:fldChar w:fldCharType="begin"/>
          </w:r>
          <w:r>
            <w:instrText xml:space="preserve"> PAGEREF _Toc19395 \h </w:instrText>
          </w:r>
          <w:r>
            <w:fldChar w:fldCharType="separate"/>
          </w:r>
          <w:r>
            <w:t>37</w:t>
          </w:r>
          <w:r>
            <w:fldChar w:fldCharType="end"/>
          </w:r>
          <w:r>
            <w:rPr>
              <w:rFonts w:hint="eastAsia" w:asciiTheme="minorEastAsia" w:hAnsiTheme="minorEastAsia" w:eastAsiaTheme="minorEastAsia" w:cstheme="minorEastAsia"/>
              <w:bCs/>
              <w:szCs w:val="28"/>
              <w:highlight w:val="none"/>
              <w:lang w:val="zh-CN"/>
            </w:rPr>
            <w:fldChar w:fldCharType="end"/>
          </w:r>
        </w:p>
        <w:p w14:paraId="3319CBED">
          <w:pPr>
            <w:pStyle w:val="15"/>
            <w:tabs>
              <w:tab w:val="right" w:leader="dot" w:pos="9027"/>
              <w:tab w:val="clear" w:pos="9628"/>
            </w:tabs>
          </w:pPr>
          <w:r>
            <w:rPr>
              <w:rFonts w:hint="eastAsia" w:asciiTheme="minorEastAsia" w:hAnsiTheme="minorEastAsia" w:eastAsiaTheme="minorEastAsia" w:cstheme="minorEastAsia"/>
              <w:bCs/>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_Toc12678 </w:instrText>
          </w:r>
          <w:r>
            <w:rPr>
              <w:rFonts w:hint="eastAsia" w:asciiTheme="minorEastAsia" w:hAnsiTheme="minorEastAsia" w:eastAsiaTheme="minorEastAsia" w:cstheme="minorEastAsia"/>
              <w:bCs/>
              <w:szCs w:val="28"/>
              <w:highlight w:val="none"/>
              <w:lang w:val="zh-CN"/>
            </w:rPr>
            <w:fldChar w:fldCharType="separate"/>
          </w:r>
          <w:r>
            <w:rPr>
              <w:rFonts w:hint="eastAsia" w:asciiTheme="minorEastAsia" w:hAnsiTheme="minorEastAsia" w:eastAsiaTheme="minorEastAsia" w:cstheme="minorEastAsia"/>
              <w:szCs w:val="32"/>
              <w:highlight w:val="none"/>
            </w:rPr>
            <w:t>第五章</w:t>
          </w:r>
          <w:r>
            <w:rPr>
              <w:rFonts w:hint="eastAsia" w:asciiTheme="minorEastAsia" w:hAnsiTheme="minorEastAsia" w:cstheme="minorEastAsia"/>
              <w:szCs w:val="32"/>
              <w:highlight w:val="none"/>
              <w:lang w:val="en-US" w:eastAsia="zh-CN"/>
            </w:rPr>
            <w:t xml:space="preserve"> </w:t>
          </w:r>
          <w:r>
            <w:rPr>
              <w:rFonts w:hint="eastAsia" w:asciiTheme="minorEastAsia" w:hAnsiTheme="minorEastAsia" w:eastAsiaTheme="minorEastAsia" w:cstheme="minorEastAsia"/>
              <w:szCs w:val="32"/>
              <w:highlight w:val="none"/>
            </w:rPr>
            <w:t xml:space="preserve"> 响应文件格式</w:t>
          </w:r>
          <w:r>
            <w:tab/>
          </w:r>
          <w:r>
            <w:fldChar w:fldCharType="begin"/>
          </w:r>
          <w:r>
            <w:instrText xml:space="preserve"> PAGEREF _Toc12678 \h </w:instrText>
          </w:r>
          <w:r>
            <w:fldChar w:fldCharType="separate"/>
          </w:r>
          <w:r>
            <w:t>40</w:t>
          </w:r>
          <w:r>
            <w:fldChar w:fldCharType="end"/>
          </w:r>
          <w:r>
            <w:rPr>
              <w:rFonts w:hint="eastAsia" w:asciiTheme="minorEastAsia" w:hAnsiTheme="minorEastAsia" w:eastAsiaTheme="minorEastAsia" w:cstheme="minorEastAsia"/>
              <w:bCs/>
              <w:szCs w:val="28"/>
              <w:highlight w:val="none"/>
              <w:lang w:val="zh-CN"/>
            </w:rPr>
            <w:fldChar w:fldCharType="end"/>
          </w:r>
        </w:p>
        <w:p w14:paraId="3FA31D5F">
          <w:pPr>
            <w:keepNext w:val="0"/>
            <w:keepLines w:val="0"/>
            <w:pageBreakBefore w:val="0"/>
            <w:kinsoku/>
            <w:wordWrap/>
            <w:overflowPunct/>
            <w:topLinePunct w:val="0"/>
            <w:autoSpaceDE/>
            <w:autoSpaceDN/>
            <w:bidi w:val="0"/>
            <w:adjustRightInd/>
            <w:snapToGrid/>
            <w:spacing w:line="480" w:lineRule="auto"/>
            <w:textAlignment w:val="auto"/>
            <w:rPr>
              <w:highlight w:val="none"/>
              <w:lang w:val="zh-CN"/>
            </w:rPr>
          </w:pPr>
          <w:r>
            <w:rPr>
              <w:rFonts w:hint="eastAsia" w:asciiTheme="minorEastAsia" w:hAnsiTheme="minorEastAsia" w:eastAsiaTheme="minorEastAsia" w:cstheme="minorEastAsia"/>
              <w:bCs/>
              <w:szCs w:val="28"/>
              <w:highlight w:val="none"/>
              <w:lang w:val="zh-CN"/>
            </w:rPr>
            <w:fldChar w:fldCharType="end"/>
          </w:r>
        </w:p>
      </w:sdtContent>
    </w:sdt>
    <w:p w14:paraId="260F55C3">
      <w:pPr>
        <w:spacing w:line="500" w:lineRule="exact"/>
        <w:ind w:firstLine="632" w:firstLineChars="300"/>
        <w:rPr>
          <w:rFonts w:hint="eastAsia" w:ascii="新宋体" w:hAnsi="新宋体" w:eastAsia="新宋体"/>
          <w:b/>
          <w:szCs w:val="21"/>
          <w:highlight w:val="none"/>
        </w:rPr>
      </w:pPr>
    </w:p>
    <w:p w14:paraId="0B33B7FC">
      <w:pPr>
        <w:spacing w:line="500" w:lineRule="exact"/>
        <w:ind w:firstLine="632" w:firstLineChars="300"/>
        <w:rPr>
          <w:rFonts w:hint="eastAsia" w:ascii="新宋体" w:hAnsi="新宋体" w:eastAsia="新宋体"/>
          <w:b/>
          <w:szCs w:val="21"/>
          <w:highlight w:val="none"/>
        </w:rPr>
      </w:pPr>
    </w:p>
    <w:p w14:paraId="56835C67">
      <w:pPr>
        <w:spacing w:line="500" w:lineRule="exact"/>
        <w:ind w:firstLine="632" w:firstLineChars="300"/>
        <w:rPr>
          <w:rFonts w:hint="eastAsia" w:ascii="新宋体" w:hAnsi="新宋体" w:eastAsia="新宋体"/>
          <w:b/>
          <w:szCs w:val="21"/>
          <w:highlight w:val="none"/>
        </w:rPr>
      </w:pPr>
    </w:p>
    <w:p w14:paraId="676948EA">
      <w:pPr>
        <w:pStyle w:val="3"/>
        <w:spacing w:before="240" w:beforeLines="0" w:after="240" w:afterLines="0"/>
        <w:jc w:val="center"/>
        <w:rPr>
          <w:rFonts w:hint="eastAsia" w:asciiTheme="minorEastAsia" w:hAnsiTheme="minorEastAsia" w:eastAsiaTheme="minorEastAsia" w:cstheme="minorEastAsia"/>
          <w:sz w:val="32"/>
          <w:szCs w:val="32"/>
          <w:highlight w:val="none"/>
        </w:rPr>
        <w:sectPr>
          <w:footerReference r:id="rId8" w:type="default"/>
          <w:pgSz w:w="11907" w:h="16840"/>
          <w:pgMar w:top="1440" w:right="1440" w:bottom="1440" w:left="1440" w:header="851" w:footer="992" w:gutter="0"/>
          <w:pgNumType w:start="1"/>
          <w:cols w:space="720" w:num="1"/>
          <w:docGrid w:linePitch="323" w:charSpace="0"/>
        </w:sectPr>
      </w:pPr>
      <w:bookmarkStart w:id="0" w:name="_Toc22558"/>
      <w:bookmarkStart w:id="1" w:name="_Toc277835132"/>
      <w:bookmarkStart w:id="2" w:name="_Toc490059883"/>
      <w:bookmarkStart w:id="3" w:name="_Toc25545"/>
      <w:bookmarkStart w:id="4" w:name="_Toc8997"/>
    </w:p>
    <w:p w14:paraId="1D3EB5B0">
      <w:pPr>
        <w:pStyle w:val="3"/>
        <w:spacing w:before="240" w:beforeLines="0" w:after="240" w:afterLines="0"/>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第一章  磋商邀请</w:t>
      </w:r>
      <w:bookmarkEnd w:id="0"/>
      <w:bookmarkEnd w:id="1"/>
      <w:bookmarkEnd w:id="2"/>
      <w:bookmarkEnd w:id="3"/>
      <w:bookmarkEnd w:id="4"/>
    </w:p>
    <w:p w14:paraId="233C3269">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福建省穗龙数字科技有限公司因项目需要</w:t>
      </w:r>
      <w:r>
        <w:rPr>
          <w:rFonts w:hint="eastAsia"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eastAsia="zh-CN"/>
        </w:rPr>
        <w:t>项目软件技术开发服务</w:t>
      </w:r>
      <w:r>
        <w:rPr>
          <w:rFonts w:hint="eastAsia" w:ascii="仿宋_GB2312" w:hAnsi="仿宋_GB2312" w:eastAsia="仿宋_GB2312" w:cs="仿宋_GB2312"/>
          <w:sz w:val="28"/>
          <w:szCs w:val="28"/>
          <w:highlight w:val="none"/>
        </w:rPr>
        <w:t>进行竞争性磋商采购，现欢</w:t>
      </w:r>
      <w:r>
        <w:rPr>
          <w:rFonts w:hint="eastAsia" w:ascii="仿宋_GB2312" w:hAnsi="仿宋_GB2312" w:eastAsia="仿宋_GB2312" w:cs="仿宋_GB2312"/>
          <w:b w:val="0"/>
          <w:bCs w:val="0"/>
          <w:sz w:val="28"/>
          <w:szCs w:val="28"/>
          <w:highlight w:val="none"/>
        </w:rPr>
        <w:t>迎</w:t>
      </w:r>
      <w:r>
        <w:rPr>
          <w:rFonts w:hint="eastAsia" w:ascii="仿宋_GB2312" w:hAnsi="仿宋_GB2312" w:eastAsia="仿宋_GB2312" w:cs="仿宋_GB2312"/>
          <w:b w:val="0"/>
          <w:bCs w:val="0"/>
          <w:sz w:val="28"/>
          <w:szCs w:val="28"/>
          <w:highlight w:val="none"/>
          <w:lang w:eastAsia="zh-CN"/>
        </w:rPr>
        <w:t>龙岩人才和大数据发展集团有限公司信息化项目供应商备选库</w:t>
      </w:r>
      <w:r>
        <w:rPr>
          <w:rFonts w:hint="eastAsia" w:ascii="仿宋_GB2312" w:hAnsi="仿宋_GB2312" w:eastAsia="仿宋_GB2312" w:cs="仿宋_GB2312"/>
          <w:b w:val="0"/>
          <w:bCs w:val="0"/>
          <w:sz w:val="28"/>
          <w:szCs w:val="28"/>
          <w:highlight w:val="none"/>
        </w:rPr>
        <w:t>内</w:t>
      </w:r>
      <w:r>
        <w:rPr>
          <w:rFonts w:hint="eastAsia" w:ascii="仿宋_GB2312" w:hAnsi="仿宋_GB2312" w:eastAsia="仿宋_GB2312" w:cs="仿宋_GB2312"/>
          <w:sz w:val="28"/>
          <w:szCs w:val="28"/>
          <w:highlight w:val="none"/>
        </w:rPr>
        <w:t>合格的磋商投标人前来提交密封的响应文件。</w:t>
      </w:r>
    </w:p>
    <w:p w14:paraId="0D0A175E">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磋商编号：</w:t>
      </w:r>
      <w:r>
        <w:rPr>
          <w:rFonts w:hint="eastAsia" w:ascii="仿宋_GB2312" w:hAnsi="仿宋_GB2312" w:eastAsia="仿宋_GB2312" w:cs="仿宋_GB2312"/>
          <w:sz w:val="28"/>
          <w:szCs w:val="28"/>
          <w:highlight w:val="none"/>
          <w:lang w:val="en-US" w:eastAsia="zh-CN"/>
        </w:rPr>
        <w:t>SLSK【CS】2025001</w:t>
      </w:r>
    </w:p>
    <w:p w14:paraId="6EF2366A">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磋商项目名称、数量、技术规格：详见附后《磋商服务一览表》</w:t>
      </w:r>
    </w:p>
    <w:p w14:paraId="664B9FA7">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3、磋商文件领取时间：</w:t>
      </w:r>
      <w:r>
        <w:rPr>
          <w:rFonts w:hint="eastAsia" w:ascii="仿宋_GB2312" w:hAnsi="仿宋_GB2312" w:eastAsia="仿宋_GB2312" w:cs="仿宋_GB2312"/>
          <w:sz w:val="28"/>
          <w:szCs w:val="28"/>
          <w:highlight w:val="none"/>
          <w:u w:val="none"/>
        </w:rPr>
        <w:t>20</w:t>
      </w:r>
      <w:r>
        <w:rPr>
          <w:rFonts w:hint="eastAsia" w:ascii="仿宋_GB2312" w:hAnsi="仿宋_GB2312" w:eastAsia="仿宋_GB2312" w:cs="仿宋_GB2312"/>
          <w:sz w:val="28"/>
          <w:szCs w:val="28"/>
          <w:highlight w:val="none"/>
          <w:u w:val="none"/>
          <w:lang w:val="en-US" w:eastAsia="zh-CN"/>
        </w:rPr>
        <w:t>25</w:t>
      </w:r>
      <w:r>
        <w:rPr>
          <w:rFonts w:hint="eastAsia" w:ascii="仿宋_GB2312" w:hAnsi="仿宋_GB2312" w:eastAsia="仿宋_GB2312" w:cs="仿宋_GB2312"/>
          <w:sz w:val="28"/>
          <w:szCs w:val="28"/>
          <w:highlight w:val="none"/>
          <w:u w:val="none"/>
        </w:rPr>
        <w:t>年</w:t>
      </w:r>
      <w:r>
        <w:rPr>
          <w:rFonts w:hint="eastAsia" w:ascii="仿宋_GB2312" w:hAnsi="仿宋_GB2312" w:eastAsia="仿宋_GB2312" w:cs="仿宋_GB2312"/>
          <w:sz w:val="28"/>
          <w:szCs w:val="28"/>
          <w:highlight w:val="none"/>
          <w:u w:val="none"/>
          <w:lang w:val="en-US" w:eastAsia="zh-CN"/>
        </w:rPr>
        <w:t>03</w:t>
      </w:r>
      <w:r>
        <w:rPr>
          <w:rFonts w:hint="eastAsia" w:ascii="仿宋_GB2312" w:hAnsi="仿宋_GB2312" w:eastAsia="仿宋_GB2312" w:cs="仿宋_GB2312"/>
          <w:sz w:val="28"/>
          <w:szCs w:val="28"/>
          <w:highlight w:val="none"/>
          <w:u w:val="none"/>
        </w:rPr>
        <w:t>月</w:t>
      </w:r>
      <w:r>
        <w:rPr>
          <w:rFonts w:hint="eastAsia" w:ascii="仿宋_GB2312" w:hAnsi="仿宋_GB2312" w:eastAsia="仿宋_GB2312" w:cs="仿宋_GB2312"/>
          <w:sz w:val="28"/>
          <w:szCs w:val="28"/>
          <w:highlight w:val="none"/>
          <w:u w:val="none"/>
          <w:lang w:val="en-US" w:eastAsia="zh-CN"/>
        </w:rPr>
        <w:t>11</w:t>
      </w:r>
      <w:r>
        <w:rPr>
          <w:rFonts w:hint="eastAsia" w:ascii="仿宋_GB2312" w:hAnsi="仿宋_GB2312" w:eastAsia="仿宋_GB2312" w:cs="仿宋_GB2312"/>
          <w:sz w:val="28"/>
          <w:szCs w:val="28"/>
          <w:highlight w:val="none"/>
          <w:u w:val="none"/>
        </w:rPr>
        <w:t>日至20</w:t>
      </w:r>
      <w:r>
        <w:rPr>
          <w:rFonts w:hint="eastAsia" w:ascii="仿宋_GB2312" w:hAnsi="仿宋_GB2312" w:eastAsia="仿宋_GB2312" w:cs="仿宋_GB2312"/>
          <w:sz w:val="28"/>
          <w:szCs w:val="28"/>
          <w:highlight w:val="none"/>
          <w:u w:val="none"/>
          <w:lang w:val="en-US" w:eastAsia="zh-CN"/>
        </w:rPr>
        <w:t>25</w:t>
      </w:r>
      <w:r>
        <w:rPr>
          <w:rFonts w:hint="eastAsia" w:ascii="仿宋_GB2312" w:hAnsi="仿宋_GB2312" w:eastAsia="仿宋_GB2312" w:cs="仿宋_GB2312"/>
          <w:sz w:val="28"/>
          <w:szCs w:val="28"/>
          <w:highlight w:val="none"/>
          <w:u w:val="none"/>
        </w:rPr>
        <w:t>年</w:t>
      </w:r>
      <w:r>
        <w:rPr>
          <w:rFonts w:hint="eastAsia" w:ascii="仿宋_GB2312" w:hAnsi="仿宋_GB2312" w:eastAsia="仿宋_GB2312" w:cs="仿宋_GB2312"/>
          <w:sz w:val="28"/>
          <w:szCs w:val="28"/>
          <w:highlight w:val="none"/>
          <w:u w:val="none"/>
          <w:lang w:val="en-US" w:eastAsia="zh-CN"/>
        </w:rPr>
        <w:t>03</w:t>
      </w:r>
      <w:r>
        <w:rPr>
          <w:rFonts w:hint="eastAsia" w:ascii="仿宋_GB2312" w:hAnsi="仿宋_GB2312" w:eastAsia="仿宋_GB2312" w:cs="仿宋_GB2312"/>
          <w:sz w:val="28"/>
          <w:szCs w:val="28"/>
          <w:highlight w:val="none"/>
          <w:u w:val="none"/>
        </w:rPr>
        <w:t>月</w:t>
      </w:r>
      <w:r>
        <w:rPr>
          <w:rFonts w:hint="eastAsia" w:ascii="仿宋_GB2312" w:hAnsi="仿宋_GB2312" w:eastAsia="仿宋_GB2312" w:cs="仿宋_GB2312"/>
          <w:sz w:val="28"/>
          <w:szCs w:val="28"/>
          <w:highlight w:val="none"/>
          <w:u w:val="none"/>
          <w:lang w:val="en-US" w:eastAsia="zh-CN"/>
        </w:rPr>
        <w:t>28</w:t>
      </w:r>
      <w:r>
        <w:rPr>
          <w:rFonts w:hint="eastAsia" w:ascii="仿宋_GB2312" w:hAnsi="仿宋_GB2312" w:eastAsia="仿宋_GB2312" w:cs="仿宋_GB2312"/>
          <w:sz w:val="28"/>
          <w:szCs w:val="28"/>
          <w:highlight w:val="none"/>
          <w:u w:val="none"/>
        </w:rPr>
        <w:t>日</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rPr>
        <w:t>未在规定时间</w:t>
      </w:r>
      <w:r>
        <w:rPr>
          <w:rFonts w:hint="eastAsia" w:ascii="仿宋_GB2312" w:hAnsi="仿宋_GB2312" w:eastAsia="仿宋_GB2312" w:cs="仿宋_GB2312"/>
          <w:sz w:val="28"/>
          <w:szCs w:val="28"/>
          <w:highlight w:val="none"/>
          <w:lang w:eastAsia="zh-CN"/>
        </w:rPr>
        <w:t>获得</w:t>
      </w:r>
      <w:r>
        <w:rPr>
          <w:rFonts w:hint="eastAsia" w:ascii="仿宋_GB2312" w:hAnsi="仿宋_GB2312" w:eastAsia="仿宋_GB2312" w:cs="仿宋_GB2312"/>
          <w:sz w:val="28"/>
          <w:szCs w:val="28"/>
          <w:highlight w:val="none"/>
        </w:rPr>
        <w:t>磋商文件的潜在磋商投标人将失去磋商响应资格。</w:t>
      </w:r>
    </w:p>
    <w:p w14:paraId="58E52897">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4、磋商文件售价</w:t>
      </w:r>
      <w:r>
        <w:rPr>
          <w:rFonts w:hint="eastAsia" w:ascii="仿宋_GB2312" w:hAnsi="仿宋_GB2312" w:eastAsia="仿宋_GB2312" w:cs="仿宋_GB2312"/>
          <w:color w:val="000000"/>
          <w:sz w:val="28"/>
          <w:szCs w:val="28"/>
          <w:highlight w:val="none"/>
          <w:lang w:val="en-US" w:eastAsia="zh-CN"/>
        </w:rPr>
        <w:t>0</w:t>
      </w:r>
      <w:r>
        <w:rPr>
          <w:rFonts w:hint="eastAsia" w:ascii="仿宋_GB2312" w:hAnsi="仿宋_GB2312" w:eastAsia="仿宋_GB2312" w:cs="仿宋_GB2312"/>
          <w:sz w:val="28"/>
          <w:szCs w:val="28"/>
          <w:highlight w:val="none"/>
        </w:rPr>
        <w:t>元人民币（电子文档或纸质文档）</w:t>
      </w:r>
      <w:r>
        <w:rPr>
          <w:rFonts w:hint="eastAsia" w:ascii="仿宋_GB2312" w:hAnsi="仿宋_GB2312" w:eastAsia="仿宋_GB2312" w:cs="仿宋_GB2312"/>
          <w:sz w:val="28"/>
          <w:szCs w:val="28"/>
          <w:highlight w:val="none"/>
          <w:lang w:eastAsia="zh-CN"/>
        </w:rPr>
        <w:t>。</w:t>
      </w:r>
    </w:p>
    <w:p w14:paraId="26CC102B">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5、磋商文件领取地点：</w:t>
      </w:r>
      <w:r>
        <w:rPr>
          <w:rFonts w:hint="eastAsia" w:ascii="仿宋_GB2312" w:hAnsi="仿宋_GB2312" w:eastAsia="仿宋_GB2312" w:cs="仿宋_GB2312"/>
          <w:sz w:val="28"/>
          <w:szCs w:val="28"/>
          <w:highlight w:val="none"/>
          <w:lang w:eastAsia="zh-CN"/>
        </w:rPr>
        <w:t>通过龙岩人才和大数据集团集采平台获取。</w:t>
      </w:r>
    </w:p>
    <w:p w14:paraId="68E64142">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6、提交响应文件截止时间及地点：响应文件应于20</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none"/>
          <w:lang w:val="en-US" w:eastAsia="zh-CN"/>
        </w:rPr>
        <w:t>03</w:t>
      </w:r>
      <w:r>
        <w:rPr>
          <w:rFonts w:hint="eastAsia" w:ascii="仿宋_GB2312" w:hAnsi="仿宋_GB2312" w:eastAsia="仿宋_GB2312" w:cs="仿宋_GB2312"/>
          <w:sz w:val="28"/>
          <w:szCs w:val="28"/>
          <w:highlight w:val="none"/>
          <w:u w:val="none"/>
        </w:rPr>
        <w:t>月</w:t>
      </w:r>
      <w:r>
        <w:rPr>
          <w:rFonts w:hint="eastAsia" w:ascii="仿宋_GB2312" w:hAnsi="仿宋_GB2312" w:eastAsia="仿宋_GB2312" w:cs="仿宋_GB2312"/>
          <w:sz w:val="28"/>
          <w:szCs w:val="28"/>
          <w:highlight w:val="none"/>
          <w:u w:val="none"/>
          <w:lang w:val="en-US" w:eastAsia="zh-CN"/>
        </w:rPr>
        <w:t>31</w:t>
      </w:r>
      <w:r>
        <w:rPr>
          <w:rFonts w:hint="eastAsia" w:ascii="仿宋_GB2312" w:hAnsi="仿宋_GB2312" w:eastAsia="仿宋_GB2312" w:cs="仿宋_GB2312"/>
          <w:sz w:val="28"/>
          <w:szCs w:val="28"/>
          <w:highlight w:val="none"/>
          <w:u w:val="none"/>
        </w:rPr>
        <w:t>日</w:t>
      </w:r>
      <w:r>
        <w:rPr>
          <w:rFonts w:hint="eastAsia" w:ascii="仿宋_GB2312" w:hAnsi="仿宋_GB2312" w:eastAsia="仿宋_GB2312" w:cs="仿宋_GB2312"/>
          <w:sz w:val="28"/>
          <w:szCs w:val="28"/>
          <w:highlight w:val="none"/>
          <w:u w:val="none"/>
          <w:lang w:eastAsia="zh-CN"/>
        </w:rPr>
        <w:t>上午</w:t>
      </w:r>
      <w:r>
        <w:rPr>
          <w:rFonts w:hint="eastAsia" w:ascii="仿宋_GB2312" w:hAnsi="仿宋_GB2312" w:eastAsia="仿宋_GB2312" w:cs="仿宋_GB2312"/>
          <w:sz w:val="28"/>
          <w:szCs w:val="28"/>
          <w:highlight w:val="none"/>
          <w:u w:val="none"/>
          <w:lang w:val="en-US" w:eastAsia="zh-CN"/>
        </w:rPr>
        <w:t>9</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00</w:t>
      </w:r>
      <w:r>
        <w:rPr>
          <w:rFonts w:hint="eastAsia" w:ascii="仿宋_GB2312" w:hAnsi="仿宋_GB2312" w:eastAsia="仿宋_GB2312" w:cs="仿宋_GB2312"/>
          <w:sz w:val="28"/>
          <w:szCs w:val="28"/>
          <w:highlight w:val="none"/>
        </w:rPr>
        <w:t>（北京时间）之前提交到</w:t>
      </w:r>
      <w:r>
        <w:rPr>
          <w:rFonts w:hint="eastAsia" w:ascii="仿宋_GB2312" w:hAnsi="仿宋_GB2312" w:eastAsia="仿宋_GB2312" w:cs="仿宋_GB2312"/>
          <w:b/>
          <w:bCs/>
          <w:sz w:val="28"/>
          <w:szCs w:val="28"/>
          <w:highlight w:val="none"/>
        </w:rPr>
        <w:t>福建省龙岩市新罗区西陂街道龙岩大道298号兴业大厦1</w:t>
      </w: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楼</w:t>
      </w:r>
      <w:r>
        <w:rPr>
          <w:rFonts w:hint="eastAsia" w:ascii="仿宋_GB2312" w:hAnsi="仿宋_GB2312" w:eastAsia="仿宋_GB2312" w:cs="仿宋_GB2312"/>
          <w:b/>
          <w:bCs/>
          <w:sz w:val="28"/>
          <w:szCs w:val="28"/>
          <w:highlight w:val="none"/>
          <w:lang w:eastAsia="zh-CN"/>
        </w:rPr>
        <w:t>福建省穗龙数字科技有限公司办公室</w:t>
      </w:r>
      <w:r>
        <w:rPr>
          <w:rFonts w:hint="eastAsia" w:ascii="仿宋_GB2312" w:hAnsi="仿宋_GB2312" w:eastAsia="仿宋_GB2312" w:cs="仿宋_GB2312"/>
          <w:sz w:val="28"/>
          <w:szCs w:val="28"/>
          <w:highlight w:val="none"/>
        </w:rPr>
        <w:t>，逾期收到的或不符合规定的响应文件将被拒绝。</w:t>
      </w:r>
    </w:p>
    <w:p w14:paraId="156D8E4F">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7、磋商时间：20</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none"/>
          <w:lang w:val="en-US" w:eastAsia="zh-CN"/>
        </w:rPr>
        <w:t>03</w:t>
      </w:r>
      <w:r>
        <w:rPr>
          <w:rFonts w:hint="eastAsia" w:ascii="仿宋_GB2312" w:hAnsi="仿宋_GB2312" w:eastAsia="仿宋_GB2312" w:cs="仿宋_GB2312"/>
          <w:sz w:val="28"/>
          <w:szCs w:val="28"/>
          <w:highlight w:val="none"/>
          <w:u w:val="none"/>
        </w:rPr>
        <w:t>月</w:t>
      </w:r>
      <w:r>
        <w:rPr>
          <w:rFonts w:hint="eastAsia" w:ascii="仿宋_GB2312" w:hAnsi="仿宋_GB2312" w:eastAsia="仿宋_GB2312" w:cs="仿宋_GB2312"/>
          <w:sz w:val="28"/>
          <w:szCs w:val="28"/>
          <w:highlight w:val="none"/>
          <w:u w:val="none"/>
          <w:lang w:val="en-US" w:eastAsia="zh-CN"/>
        </w:rPr>
        <w:t>31</w:t>
      </w:r>
      <w:r>
        <w:rPr>
          <w:rFonts w:hint="eastAsia" w:ascii="仿宋_GB2312" w:hAnsi="仿宋_GB2312" w:eastAsia="仿宋_GB2312" w:cs="仿宋_GB2312"/>
          <w:sz w:val="28"/>
          <w:szCs w:val="28"/>
          <w:highlight w:val="none"/>
          <w:u w:val="none"/>
        </w:rPr>
        <w:t>日</w:t>
      </w:r>
      <w:r>
        <w:rPr>
          <w:rFonts w:hint="eastAsia" w:ascii="仿宋_GB2312" w:hAnsi="仿宋_GB2312" w:eastAsia="仿宋_GB2312" w:cs="仿宋_GB2312"/>
          <w:sz w:val="28"/>
          <w:szCs w:val="28"/>
          <w:highlight w:val="none"/>
          <w:u w:val="none"/>
          <w:lang w:eastAsia="zh-CN"/>
        </w:rPr>
        <w:t>上</w:t>
      </w:r>
      <w:r>
        <w:rPr>
          <w:rFonts w:hint="eastAsia" w:ascii="仿宋_GB2312" w:hAnsi="仿宋_GB2312" w:eastAsia="仿宋_GB2312" w:cs="仿宋_GB2312"/>
          <w:sz w:val="28"/>
          <w:szCs w:val="28"/>
          <w:highlight w:val="none"/>
          <w:u w:val="none"/>
        </w:rPr>
        <w:t>午</w:t>
      </w:r>
      <w:r>
        <w:rPr>
          <w:rFonts w:hint="eastAsia" w:ascii="仿宋_GB2312" w:hAnsi="仿宋_GB2312" w:eastAsia="仿宋_GB2312" w:cs="仿宋_GB2312"/>
          <w:sz w:val="28"/>
          <w:szCs w:val="28"/>
          <w:highlight w:val="none"/>
          <w:u w:val="none"/>
          <w:lang w:val="en-US" w:eastAsia="zh-CN"/>
        </w:rPr>
        <w:t>9</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30</w:t>
      </w:r>
      <w:r>
        <w:rPr>
          <w:rFonts w:hint="eastAsia" w:ascii="仿宋_GB2312" w:hAnsi="仿宋_GB2312" w:eastAsia="仿宋_GB2312" w:cs="仿宋_GB2312"/>
          <w:sz w:val="28"/>
          <w:szCs w:val="28"/>
          <w:highlight w:val="none"/>
        </w:rPr>
        <w:t>（北京时</w:t>
      </w:r>
      <w:bookmarkStart w:id="57" w:name="_GoBack"/>
      <w:bookmarkEnd w:id="57"/>
      <w:r>
        <w:rPr>
          <w:rFonts w:hint="eastAsia" w:ascii="仿宋_GB2312" w:hAnsi="仿宋_GB2312" w:eastAsia="仿宋_GB2312" w:cs="仿宋_GB2312"/>
          <w:sz w:val="28"/>
          <w:szCs w:val="28"/>
          <w:highlight w:val="none"/>
        </w:rPr>
        <w:t>间）；磋商地点：</w:t>
      </w:r>
      <w:r>
        <w:rPr>
          <w:rFonts w:hint="eastAsia" w:ascii="仿宋_GB2312" w:hAnsi="仿宋_GB2312" w:eastAsia="仿宋_GB2312" w:cs="仿宋_GB2312"/>
          <w:b/>
          <w:bCs/>
          <w:sz w:val="28"/>
          <w:szCs w:val="28"/>
          <w:highlight w:val="none"/>
        </w:rPr>
        <w:t>福建省龙岩市新罗区西陂街道龙岩大道298号兴业大厦1</w:t>
      </w: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楼</w:t>
      </w:r>
      <w:r>
        <w:rPr>
          <w:rFonts w:hint="eastAsia" w:ascii="仿宋_GB2312" w:hAnsi="仿宋_GB2312" w:eastAsia="仿宋_GB2312" w:cs="仿宋_GB2312"/>
          <w:b/>
          <w:bCs/>
          <w:sz w:val="28"/>
          <w:szCs w:val="28"/>
          <w:highlight w:val="none"/>
          <w:lang w:eastAsia="zh-CN"/>
        </w:rPr>
        <w:t>福建省穗龙数字科技有限公司会议室</w:t>
      </w:r>
    </w:p>
    <w:p w14:paraId="57529ADD">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8、询问规定：根据《中华人民共和国政府采购法实施条例》第五十二条规定，采购人或者</w:t>
      </w:r>
      <w:r>
        <w:rPr>
          <w:rFonts w:hint="eastAsia" w:ascii="仿宋_GB2312" w:hAnsi="仿宋_GB2312" w:eastAsia="仿宋_GB2312" w:cs="仿宋_GB2312"/>
          <w:sz w:val="28"/>
          <w:szCs w:val="28"/>
          <w:highlight w:val="none"/>
          <w:lang w:eastAsia="zh-CN"/>
        </w:rPr>
        <w:t>采购单位</w:t>
      </w:r>
      <w:r>
        <w:rPr>
          <w:rFonts w:hint="eastAsia" w:ascii="仿宋_GB2312" w:hAnsi="仿宋_GB2312" w:eastAsia="仿宋_GB2312" w:cs="仿宋_GB2312"/>
          <w:sz w:val="28"/>
          <w:szCs w:val="28"/>
          <w:highlight w:val="none"/>
        </w:rPr>
        <w:t>应当在3个工作日内对磋商投标人依法提出的询问作出答复。磋商投标人提出的询问或者质疑超出采购人对</w:t>
      </w:r>
      <w:r>
        <w:rPr>
          <w:rFonts w:hint="eastAsia" w:ascii="仿宋_GB2312" w:hAnsi="仿宋_GB2312" w:eastAsia="仿宋_GB2312" w:cs="仿宋_GB2312"/>
          <w:sz w:val="28"/>
          <w:szCs w:val="28"/>
          <w:highlight w:val="none"/>
          <w:lang w:eastAsia="zh-CN"/>
        </w:rPr>
        <w:t>采购单位</w:t>
      </w:r>
      <w:r>
        <w:rPr>
          <w:rFonts w:hint="eastAsia" w:ascii="仿宋_GB2312" w:hAnsi="仿宋_GB2312" w:eastAsia="仿宋_GB2312" w:cs="仿宋_GB2312"/>
          <w:sz w:val="28"/>
          <w:szCs w:val="28"/>
          <w:highlight w:val="none"/>
        </w:rPr>
        <w:t>委托授权范围的，</w:t>
      </w:r>
      <w:r>
        <w:rPr>
          <w:rFonts w:hint="eastAsia" w:ascii="仿宋_GB2312" w:hAnsi="仿宋_GB2312" w:eastAsia="仿宋_GB2312" w:cs="仿宋_GB2312"/>
          <w:sz w:val="28"/>
          <w:szCs w:val="28"/>
          <w:highlight w:val="none"/>
          <w:lang w:eastAsia="zh-CN"/>
        </w:rPr>
        <w:t>采购单位</w:t>
      </w:r>
      <w:r>
        <w:rPr>
          <w:rFonts w:hint="eastAsia" w:ascii="仿宋_GB2312" w:hAnsi="仿宋_GB2312" w:eastAsia="仿宋_GB2312" w:cs="仿宋_GB2312"/>
          <w:sz w:val="28"/>
          <w:szCs w:val="28"/>
          <w:highlight w:val="none"/>
        </w:rPr>
        <w:t>应当告知磋商投标人向采购人提出。</w:t>
      </w:r>
    </w:p>
    <w:p w14:paraId="27B36E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9、磋商投标人对本次磋商活动事项提出质疑</w:t>
      </w:r>
      <w:r>
        <w:rPr>
          <w:rFonts w:hint="eastAsia" w:ascii="仿宋_GB2312" w:hAnsi="仿宋_GB2312" w:eastAsia="仿宋_GB2312" w:cs="仿宋_GB2312"/>
          <w:sz w:val="28"/>
          <w:szCs w:val="28"/>
          <w:highlight w:val="none"/>
          <w:lang w:eastAsia="zh-CN"/>
        </w:rPr>
        <w:t>应以</w:t>
      </w:r>
      <w:r>
        <w:rPr>
          <w:rFonts w:hint="eastAsia" w:ascii="仿宋_GB2312" w:hAnsi="仿宋_GB2312" w:eastAsia="仿宋_GB2312" w:cs="仿宋_GB2312"/>
          <w:sz w:val="28"/>
          <w:szCs w:val="28"/>
          <w:highlight w:val="none"/>
        </w:rPr>
        <w:t>书面质疑材料</w:t>
      </w:r>
      <w:r>
        <w:rPr>
          <w:rFonts w:hint="eastAsia" w:ascii="仿宋_GB2312" w:hAnsi="仿宋_GB2312" w:eastAsia="仿宋_GB2312" w:cs="仿宋_GB2312"/>
          <w:sz w:val="28"/>
          <w:szCs w:val="28"/>
          <w:highlight w:val="none"/>
          <w:lang w:eastAsia="zh-CN"/>
        </w:rPr>
        <w:t>提交至采购单位</w:t>
      </w:r>
      <w:r>
        <w:rPr>
          <w:rFonts w:hint="eastAsia" w:ascii="仿宋_GB2312" w:hAnsi="仿宋_GB2312" w:eastAsia="仿宋_GB2312" w:cs="仿宋_GB2312"/>
          <w:sz w:val="28"/>
          <w:szCs w:val="28"/>
          <w:highlight w:val="none"/>
        </w:rPr>
        <w:t>。</w:t>
      </w:r>
    </w:p>
    <w:p w14:paraId="448D27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10、有关本项目磋商的相关信息（包括磋商文件的修改补充）及资料下载，将通过</w:t>
      </w:r>
      <w:r>
        <w:rPr>
          <w:rFonts w:hint="eastAsia" w:ascii="仿宋_GB2312" w:hAnsi="仿宋_GB2312" w:eastAsia="仿宋_GB2312" w:cs="仿宋_GB2312"/>
          <w:sz w:val="28"/>
          <w:szCs w:val="28"/>
          <w:highlight w:val="none"/>
          <w:lang w:val="en-US" w:eastAsia="zh-CN"/>
        </w:rPr>
        <w:t>龙岩市人才和大数据发展集团官网</w:t>
      </w:r>
      <w:r>
        <w:rPr>
          <w:rFonts w:hint="eastAsia" w:ascii="仿宋_GB2312" w:hAnsi="仿宋_GB2312" w:eastAsia="仿宋_GB2312" w:cs="仿宋_GB2312"/>
          <w:sz w:val="28"/>
          <w:szCs w:val="28"/>
          <w:highlight w:val="none"/>
        </w:rPr>
        <w:t>发布，请潜在磋商投标人随时关注相关网站，以免错漏重要信息。</w:t>
      </w:r>
    </w:p>
    <w:p w14:paraId="3CB52D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rPr>
        <w:t>11、</w:t>
      </w:r>
      <w:r>
        <w:rPr>
          <w:rFonts w:hint="eastAsia" w:ascii="仿宋_GB2312" w:hAnsi="仿宋_GB2312" w:eastAsia="仿宋_GB2312" w:cs="仿宋_GB2312"/>
          <w:b w:val="0"/>
          <w:bCs w:val="0"/>
          <w:sz w:val="28"/>
          <w:szCs w:val="28"/>
          <w:highlight w:val="none"/>
          <w:lang w:val="en-US" w:eastAsia="zh-CN"/>
        </w:rPr>
        <w:t>采购单位信息</w:t>
      </w:r>
    </w:p>
    <w:p w14:paraId="6B80775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kern w:val="0"/>
          <w:sz w:val="28"/>
          <w:szCs w:val="28"/>
          <w:highlight w:val="none"/>
          <w:lang w:eastAsia="zh-CN" w:bidi="ar"/>
        </w:rPr>
      </w:pPr>
      <w:r>
        <w:rPr>
          <w:rFonts w:hint="eastAsia" w:ascii="仿宋_GB2312" w:hAnsi="仿宋_GB2312" w:eastAsia="仿宋_GB2312" w:cs="仿宋_GB2312"/>
          <w:sz w:val="28"/>
          <w:szCs w:val="28"/>
          <w:highlight w:val="none"/>
          <w:lang w:eastAsia="zh-CN"/>
        </w:rPr>
        <w:t>采购单位</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kern w:val="0"/>
          <w:sz w:val="28"/>
          <w:szCs w:val="28"/>
          <w:highlight w:val="none"/>
          <w:lang w:eastAsia="zh-CN" w:bidi="ar"/>
        </w:rPr>
        <w:t>福建省穗龙数字科技有限公司</w:t>
      </w:r>
    </w:p>
    <w:p w14:paraId="40E0A9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kern w:val="0"/>
          <w:sz w:val="28"/>
          <w:szCs w:val="28"/>
          <w:highlight w:val="none"/>
          <w:lang w:eastAsia="zh-CN" w:bidi="ar"/>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kern w:val="0"/>
          <w:sz w:val="28"/>
          <w:szCs w:val="28"/>
          <w:highlight w:val="none"/>
          <w:lang w:eastAsia="zh-CN" w:bidi="ar"/>
        </w:rPr>
        <w:t>福建省龙岩市新罗区东肖镇曲潭路15号创业楼四楼401</w:t>
      </w:r>
    </w:p>
    <w:p w14:paraId="503924F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pacing w:val="0"/>
          <w:sz w:val="28"/>
          <w:szCs w:val="28"/>
          <w:highlight w:val="none"/>
        </w:rPr>
        <w:t>黄先生</w:t>
      </w:r>
    </w:p>
    <w:p w14:paraId="382585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新宋体"/>
          <w:b/>
          <w:sz w:val="32"/>
          <w:szCs w:val="32"/>
          <w:highlight w:val="none"/>
        </w:rPr>
      </w:pPr>
      <w:r>
        <w:rPr>
          <w:rFonts w:hint="eastAsia" w:ascii="仿宋_GB2312" w:hAnsi="仿宋_GB2312" w:eastAsia="仿宋_GB2312" w:cs="仿宋_GB2312"/>
          <w:color w:val="262626" w:themeColor="text1" w:themeTint="D9"/>
          <w:sz w:val="28"/>
          <w:szCs w:val="28"/>
          <w:highlight w:val="none"/>
          <w14:textFill>
            <w14:solidFill>
              <w14:schemeClr w14:val="tx1">
                <w14:lumMod w14:val="85000"/>
                <w14:lumOff w14:val="15000"/>
              </w14:schemeClr>
            </w14:solidFill>
          </w14:textFill>
        </w:rPr>
        <w:t>联系方法：</w:t>
      </w:r>
      <w:r>
        <w:rPr>
          <w:rFonts w:hint="eastAsia" w:ascii="仿宋_GB2312" w:hAnsi="仿宋_GB2312" w:eastAsia="仿宋_GB2312" w:cs="仿宋_GB2312"/>
          <w:color w:val="262626" w:themeColor="text1" w:themeTint="D9"/>
          <w:spacing w:val="0"/>
          <w:sz w:val="28"/>
          <w:szCs w:val="28"/>
          <w:highlight w:val="none"/>
          <w:lang w:val="en-US" w:eastAsia="zh-CN"/>
          <w14:textFill>
            <w14:solidFill>
              <w14:schemeClr w14:val="tx1">
                <w14:lumMod w14:val="85000"/>
                <w14:lumOff w14:val="15000"/>
              </w14:schemeClr>
            </w14:solidFill>
          </w14:textFill>
        </w:rPr>
        <w:t>18960952701</w:t>
      </w:r>
      <w:r>
        <w:rPr>
          <w:rFonts w:hint="eastAsia" w:ascii="仿宋_GB2312" w:hAnsi="仿宋_GB2312" w:eastAsia="仿宋_GB2312" w:cs="仿宋_GB2312"/>
          <w:color w:val="262626" w:themeColor="text1" w:themeTint="D9"/>
          <w:sz w:val="28"/>
          <w:szCs w:val="28"/>
          <w:highlight w:val="none"/>
          <w14:textFill>
            <w14:solidFill>
              <w14:schemeClr w14:val="tx1">
                <w14:lumMod w14:val="85000"/>
                <w14:lumOff w14:val="15000"/>
              </w14:schemeClr>
            </w14:solidFill>
          </w14:textFill>
        </w:rPr>
        <w:t xml:space="preserve"> </w:t>
      </w:r>
      <w:r>
        <w:rPr>
          <w:rFonts w:hint="eastAsia" w:ascii="仿宋_GB2312" w:hAnsi="仿宋_GB2312" w:eastAsia="仿宋_GB2312" w:cs="仿宋_GB2312"/>
          <w:color w:val="262626" w:themeColor="text1" w:themeTint="D9"/>
          <w:sz w:val="24"/>
          <w:szCs w:val="24"/>
          <w:highlight w:val="none"/>
          <w14:textFill>
            <w14:solidFill>
              <w14:schemeClr w14:val="tx1">
                <w14:lumMod w14:val="85000"/>
                <w14:lumOff w14:val="15000"/>
              </w14:schemeClr>
            </w14:solidFill>
          </w14:textFill>
        </w:rPr>
        <w:t xml:space="preserve">  </w:t>
      </w:r>
      <w:r>
        <w:rPr>
          <w:rFonts w:hint="eastAsia" w:ascii="仿宋_GB2312" w:hAnsi="仿宋_GB2312" w:eastAsia="仿宋_GB2312" w:cs="仿宋_GB2312"/>
          <w:color w:val="FF0000"/>
          <w:sz w:val="24"/>
          <w:szCs w:val="24"/>
          <w:highlight w:val="none"/>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highlight w:val="none"/>
        </w:rPr>
        <w:t xml:space="preserve">              </w:t>
      </w:r>
      <w:r>
        <w:rPr>
          <w:rFonts w:hint="eastAsia" w:eastAsia="新宋体"/>
          <w:b/>
          <w:sz w:val="32"/>
          <w:szCs w:val="32"/>
          <w:highlight w:val="none"/>
        </w:rPr>
        <w:br w:type="page"/>
      </w:r>
    </w:p>
    <w:p w14:paraId="5DE743DF">
      <w:pPr>
        <w:spacing w:line="400" w:lineRule="exact"/>
        <w:rPr>
          <w:rFonts w:hint="eastAsia" w:eastAsia="新宋体"/>
          <w:b/>
          <w:sz w:val="32"/>
          <w:szCs w:val="32"/>
          <w:highlight w:val="none"/>
        </w:rPr>
      </w:pPr>
      <w:r>
        <w:rPr>
          <w:rFonts w:hint="eastAsia" w:eastAsia="新宋体"/>
          <w:b/>
          <w:sz w:val="32"/>
          <w:szCs w:val="32"/>
          <w:highlight w:val="none"/>
        </w:rPr>
        <w:t>附：磋商服务一览表</w:t>
      </w:r>
    </w:p>
    <w:p w14:paraId="78CEE6B3">
      <w:pPr>
        <w:pStyle w:val="10"/>
        <w:rPr>
          <w:rFonts w:hint="eastAsia" w:asciiTheme="minorEastAsia" w:hAnsiTheme="minorEastAsia" w:eastAsiaTheme="minorEastAsia" w:cstheme="minorEastAsia"/>
          <w:sz w:val="24"/>
          <w:szCs w:val="24"/>
          <w:highlight w:val="none"/>
        </w:rPr>
      </w:pPr>
    </w:p>
    <w:tbl>
      <w:tblPr>
        <w:tblStyle w:val="21"/>
        <w:tblW w:w="514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4"/>
        <w:gridCol w:w="908"/>
        <w:gridCol w:w="1769"/>
        <w:gridCol w:w="737"/>
        <w:gridCol w:w="2350"/>
        <w:gridCol w:w="1322"/>
        <w:gridCol w:w="1278"/>
      </w:tblGrid>
      <w:tr w14:paraId="6191BA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49" w:hRule="atLeast"/>
          <w:tblHeader/>
        </w:trPr>
        <w:tc>
          <w:tcPr>
            <w:tcW w:w="502" w:type="pct"/>
            <w:tcBorders>
              <w:top w:val="outset" w:color="auto" w:sz="6" w:space="0"/>
              <w:left w:val="outset" w:color="auto" w:sz="6" w:space="0"/>
              <w:bottom w:val="outset" w:color="auto" w:sz="6" w:space="0"/>
              <w:right w:val="outset" w:color="auto" w:sz="6" w:space="0"/>
            </w:tcBorders>
            <w:noWrap w:val="0"/>
            <w:vAlign w:val="center"/>
          </w:tcPr>
          <w:p w14:paraId="047A7FE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合同包</w:t>
            </w:r>
          </w:p>
        </w:tc>
        <w:tc>
          <w:tcPr>
            <w:tcW w:w="488" w:type="pct"/>
            <w:tcBorders>
              <w:top w:val="outset" w:color="auto" w:sz="6" w:space="0"/>
              <w:left w:val="outset" w:color="auto" w:sz="6" w:space="0"/>
              <w:bottom w:val="outset" w:color="auto" w:sz="6" w:space="0"/>
              <w:right w:val="outset" w:color="auto" w:sz="6" w:space="0"/>
            </w:tcBorders>
            <w:noWrap w:val="0"/>
            <w:vAlign w:val="center"/>
          </w:tcPr>
          <w:p w14:paraId="0389482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品目号</w:t>
            </w:r>
          </w:p>
        </w:tc>
        <w:tc>
          <w:tcPr>
            <w:tcW w:w="951" w:type="pct"/>
            <w:tcBorders>
              <w:top w:val="outset" w:color="auto" w:sz="6" w:space="0"/>
              <w:left w:val="outset" w:color="auto" w:sz="6" w:space="0"/>
              <w:bottom w:val="outset" w:color="auto" w:sz="6" w:space="0"/>
              <w:right w:val="outset" w:color="auto" w:sz="6" w:space="0"/>
            </w:tcBorders>
            <w:noWrap w:val="0"/>
            <w:vAlign w:val="center"/>
          </w:tcPr>
          <w:p w14:paraId="05FFC52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采购标的</w:t>
            </w:r>
          </w:p>
        </w:tc>
        <w:tc>
          <w:tcPr>
            <w:tcW w:w="396" w:type="pct"/>
            <w:tcBorders>
              <w:top w:val="outset" w:color="auto" w:sz="6" w:space="0"/>
              <w:left w:val="outset" w:color="auto" w:sz="6" w:space="0"/>
              <w:bottom w:val="outset" w:color="auto" w:sz="6" w:space="0"/>
              <w:right w:val="outset" w:color="auto" w:sz="6" w:space="0"/>
            </w:tcBorders>
            <w:noWrap w:val="0"/>
            <w:vAlign w:val="center"/>
          </w:tcPr>
          <w:p w14:paraId="426024D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bidi="ar"/>
              </w:rPr>
              <w:t>数量</w:t>
            </w:r>
          </w:p>
        </w:tc>
        <w:tc>
          <w:tcPr>
            <w:tcW w:w="1263" w:type="pct"/>
            <w:tcBorders>
              <w:top w:val="outset" w:color="auto" w:sz="6" w:space="0"/>
              <w:left w:val="outset" w:color="auto" w:sz="6" w:space="0"/>
              <w:bottom w:val="outset" w:color="auto" w:sz="6" w:space="0"/>
              <w:right w:val="outset" w:color="auto" w:sz="6" w:space="0"/>
            </w:tcBorders>
            <w:noWrap w:val="0"/>
            <w:vAlign w:val="center"/>
          </w:tcPr>
          <w:p w14:paraId="56B7BB1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技术参数</w:t>
            </w:r>
          </w:p>
        </w:tc>
        <w:tc>
          <w:tcPr>
            <w:tcW w:w="711" w:type="pct"/>
            <w:tcBorders>
              <w:top w:val="outset" w:color="auto" w:sz="6" w:space="0"/>
              <w:left w:val="outset" w:color="auto" w:sz="6" w:space="0"/>
              <w:bottom w:val="outset" w:color="auto" w:sz="6" w:space="0"/>
              <w:right w:val="outset" w:color="auto" w:sz="6" w:space="0"/>
            </w:tcBorders>
            <w:noWrap w:val="0"/>
            <w:vAlign w:val="center"/>
          </w:tcPr>
          <w:p w14:paraId="4F4E5AB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kern w:val="0"/>
                <w:sz w:val="28"/>
                <w:szCs w:val="28"/>
                <w:highlight w:val="none"/>
                <w:lang w:eastAsia="zh-CN" w:bidi="ar"/>
              </w:rPr>
            </w:pPr>
            <w:r>
              <w:rPr>
                <w:rFonts w:hint="eastAsia" w:ascii="仿宋_GB2312" w:hAnsi="仿宋_GB2312" w:eastAsia="仿宋_GB2312" w:cs="仿宋_GB2312"/>
                <w:kern w:val="0"/>
                <w:sz w:val="28"/>
                <w:szCs w:val="28"/>
                <w:highlight w:val="none"/>
                <w:lang w:eastAsia="zh-CN" w:bidi="ar"/>
              </w:rPr>
              <w:t>限价金额</w:t>
            </w:r>
          </w:p>
          <w:p w14:paraId="786E9E0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kern w:val="0"/>
                <w:sz w:val="28"/>
                <w:szCs w:val="28"/>
                <w:highlight w:val="none"/>
                <w:lang w:eastAsia="zh-CN" w:bidi="ar"/>
              </w:rPr>
            </w:pPr>
            <w:r>
              <w:rPr>
                <w:rFonts w:hint="eastAsia" w:ascii="仿宋_GB2312" w:hAnsi="仿宋_GB2312" w:eastAsia="仿宋_GB2312" w:cs="仿宋_GB2312"/>
                <w:kern w:val="0"/>
                <w:sz w:val="28"/>
                <w:szCs w:val="28"/>
                <w:highlight w:val="none"/>
                <w:lang w:eastAsia="zh-CN" w:bidi="ar"/>
              </w:rPr>
              <w:t>（万元）</w:t>
            </w:r>
          </w:p>
        </w:tc>
        <w:tc>
          <w:tcPr>
            <w:tcW w:w="687" w:type="pct"/>
            <w:tcBorders>
              <w:top w:val="outset" w:color="auto" w:sz="6" w:space="0"/>
              <w:left w:val="outset" w:color="auto" w:sz="6" w:space="0"/>
              <w:bottom w:val="outset" w:color="auto" w:sz="6" w:space="0"/>
              <w:right w:val="outset" w:color="auto" w:sz="6" w:space="0"/>
            </w:tcBorders>
            <w:noWrap w:val="0"/>
            <w:vAlign w:val="center"/>
          </w:tcPr>
          <w:p w14:paraId="1BC71CB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磋商响应保证金</w:t>
            </w:r>
            <w:r>
              <w:rPr>
                <w:rFonts w:hint="eastAsia" w:ascii="仿宋_GB2312" w:hAnsi="仿宋_GB2312" w:eastAsia="仿宋_GB2312" w:cs="仿宋_GB2312"/>
                <w:kern w:val="0"/>
                <w:sz w:val="28"/>
                <w:szCs w:val="28"/>
                <w:highlight w:val="none"/>
                <w:lang w:eastAsia="zh-CN" w:bidi="ar"/>
              </w:rPr>
              <w:t>（元）</w:t>
            </w:r>
          </w:p>
        </w:tc>
      </w:tr>
      <w:tr w14:paraId="7761C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blHeader/>
        </w:trPr>
        <w:tc>
          <w:tcPr>
            <w:tcW w:w="502" w:type="pct"/>
            <w:tcBorders>
              <w:top w:val="outset" w:color="auto" w:sz="6" w:space="0"/>
              <w:left w:val="outset" w:color="auto" w:sz="6" w:space="0"/>
              <w:right w:val="outset" w:color="auto" w:sz="6" w:space="0"/>
            </w:tcBorders>
            <w:noWrap w:val="0"/>
            <w:vAlign w:val="center"/>
          </w:tcPr>
          <w:p w14:paraId="03DC53D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kern w:val="0"/>
                <w:sz w:val="28"/>
                <w:szCs w:val="28"/>
                <w:highlight w:val="none"/>
                <w:lang w:eastAsia="zh-CN" w:bidi="ar"/>
              </w:rPr>
            </w:pPr>
            <w:r>
              <w:rPr>
                <w:rFonts w:hint="eastAsia" w:ascii="仿宋_GB2312" w:hAnsi="仿宋_GB2312" w:eastAsia="仿宋_GB2312" w:cs="仿宋_GB2312"/>
                <w:kern w:val="0"/>
                <w:sz w:val="28"/>
                <w:szCs w:val="28"/>
                <w:highlight w:val="none"/>
                <w:lang w:eastAsia="zh-CN" w:bidi="ar"/>
              </w:rPr>
              <w:t>1</w:t>
            </w:r>
          </w:p>
        </w:tc>
        <w:tc>
          <w:tcPr>
            <w:tcW w:w="488" w:type="pct"/>
            <w:tcBorders>
              <w:top w:val="outset" w:color="auto" w:sz="6" w:space="0"/>
              <w:left w:val="outset" w:color="auto" w:sz="6" w:space="0"/>
              <w:bottom w:val="outset" w:color="auto" w:sz="6" w:space="0"/>
              <w:right w:val="outset" w:color="auto" w:sz="6" w:space="0"/>
            </w:tcBorders>
            <w:noWrap w:val="0"/>
            <w:vAlign w:val="center"/>
          </w:tcPr>
          <w:p w14:paraId="7A3FEF2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1-1</w:t>
            </w:r>
          </w:p>
        </w:tc>
        <w:tc>
          <w:tcPr>
            <w:tcW w:w="951" w:type="pct"/>
            <w:tcBorders>
              <w:top w:val="outset" w:color="auto" w:sz="6" w:space="0"/>
              <w:left w:val="outset" w:color="auto" w:sz="6" w:space="0"/>
              <w:bottom w:val="outset" w:color="auto" w:sz="6" w:space="0"/>
              <w:right w:val="outset" w:color="auto" w:sz="6" w:space="0"/>
            </w:tcBorders>
            <w:noWrap w:val="0"/>
            <w:vAlign w:val="center"/>
          </w:tcPr>
          <w:p w14:paraId="3B0069D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kern w:val="0"/>
                <w:sz w:val="28"/>
                <w:szCs w:val="28"/>
                <w:highlight w:val="none"/>
                <w:lang w:eastAsia="zh-CN" w:bidi="ar"/>
              </w:rPr>
            </w:pPr>
            <w:r>
              <w:rPr>
                <w:rFonts w:hint="eastAsia" w:ascii="仿宋_GB2312" w:hAnsi="仿宋_GB2312" w:eastAsia="仿宋_GB2312" w:cs="仿宋_GB2312"/>
                <w:kern w:val="0"/>
                <w:sz w:val="28"/>
                <w:szCs w:val="28"/>
                <w:highlight w:val="none"/>
                <w:lang w:eastAsia="zh-CN" w:bidi="ar"/>
              </w:rPr>
              <w:t>项目软件技术开发服务</w:t>
            </w:r>
          </w:p>
        </w:tc>
        <w:tc>
          <w:tcPr>
            <w:tcW w:w="396" w:type="pct"/>
            <w:tcBorders>
              <w:top w:val="outset" w:color="auto" w:sz="6" w:space="0"/>
              <w:left w:val="outset" w:color="auto" w:sz="6" w:space="0"/>
              <w:bottom w:val="outset" w:color="auto" w:sz="6" w:space="0"/>
              <w:right w:val="outset" w:color="auto" w:sz="6" w:space="0"/>
            </w:tcBorders>
            <w:noWrap w:val="0"/>
            <w:vAlign w:val="center"/>
          </w:tcPr>
          <w:p w14:paraId="30552F7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1项</w:t>
            </w:r>
          </w:p>
        </w:tc>
        <w:tc>
          <w:tcPr>
            <w:tcW w:w="1263" w:type="pct"/>
            <w:tcBorders>
              <w:top w:val="outset" w:color="auto" w:sz="6" w:space="0"/>
              <w:left w:val="outset" w:color="auto" w:sz="6" w:space="0"/>
              <w:right w:val="outset" w:color="auto" w:sz="6" w:space="0"/>
            </w:tcBorders>
            <w:noWrap w:val="0"/>
            <w:vAlign w:val="center"/>
          </w:tcPr>
          <w:p w14:paraId="1884BB3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Cs/>
                <w:sz w:val="28"/>
                <w:szCs w:val="28"/>
                <w:highlight w:val="none"/>
              </w:rPr>
              <w:t>详见第三章磋商内容与技术要求</w:t>
            </w:r>
          </w:p>
        </w:tc>
        <w:tc>
          <w:tcPr>
            <w:tcW w:w="711" w:type="pct"/>
            <w:tcBorders>
              <w:top w:val="outset" w:color="auto" w:sz="6" w:space="0"/>
              <w:left w:val="outset" w:color="auto" w:sz="6" w:space="0"/>
              <w:right w:val="outset" w:color="auto" w:sz="6" w:space="0"/>
            </w:tcBorders>
            <w:noWrap w:val="0"/>
            <w:vAlign w:val="center"/>
          </w:tcPr>
          <w:p w14:paraId="03CAC45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49.5</w:t>
            </w:r>
          </w:p>
        </w:tc>
        <w:tc>
          <w:tcPr>
            <w:tcW w:w="687" w:type="pct"/>
            <w:tcBorders>
              <w:top w:val="outset" w:color="auto" w:sz="6" w:space="0"/>
              <w:left w:val="outset" w:color="auto" w:sz="6" w:space="0"/>
              <w:right w:val="outset" w:color="auto" w:sz="6" w:space="0"/>
            </w:tcBorders>
            <w:noWrap w:val="0"/>
            <w:vAlign w:val="center"/>
          </w:tcPr>
          <w:p w14:paraId="4630CE3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0</w:t>
            </w:r>
          </w:p>
        </w:tc>
      </w:tr>
    </w:tbl>
    <w:p w14:paraId="0EA4006E">
      <w:pPr>
        <w:pStyle w:val="10"/>
        <w:rPr>
          <w:rFonts w:hint="eastAsia" w:asciiTheme="minorEastAsia" w:hAnsiTheme="minorEastAsia" w:eastAsiaTheme="minorEastAsia" w:cstheme="minorEastAsia"/>
          <w:sz w:val="24"/>
          <w:szCs w:val="24"/>
          <w:highlight w:val="none"/>
        </w:rPr>
      </w:pPr>
    </w:p>
    <w:p w14:paraId="644A3026">
      <w:pPr>
        <w:keepNext w:val="0"/>
        <w:keepLines w:val="0"/>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b/>
          <w:sz w:val="24"/>
          <w:szCs w:val="24"/>
          <w:highlight w:val="none"/>
        </w:rPr>
      </w:pPr>
      <w:bookmarkStart w:id="5" w:name="_Toc277835135"/>
      <w:r>
        <w:rPr>
          <w:rFonts w:hint="eastAsia" w:ascii="仿宋_GB2312" w:hAnsi="仿宋_GB2312" w:eastAsia="仿宋_GB2312" w:cs="仿宋_GB2312"/>
          <w:b/>
          <w:sz w:val="24"/>
          <w:szCs w:val="24"/>
          <w:highlight w:val="none"/>
        </w:rPr>
        <w:t>注：</w:t>
      </w:r>
    </w:p>
    <w:p w14:paraId="441AFDB5">
      <w:pPr>
        <w:keepNext w:val="0"/>
        <w:keepLines w:val="0"/>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1、供应商须按合同包报价，不得仅对一个合同包中的部分服务进行报价，否则其报价将被拒绝。评标与授标以合同包为单位。</w:t>
      </w:r>
    </w:p>
    <w:p w14:paraId="45844A1C">
      <w:pPr>
        <w:keepNext w:val="0"/>
        <w:keepLines w:val="0"/>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2、成交供应商不得分包、转包他人、联合报价，若发现转包分包，采购人有权终止合同，并追究相应法律责任。</w:t>
      </w:r>
    </w:p>
    <w:p w14:paraId="537D624B">
      <w:pPr>
        <w:keepNext w:val="0"/>
        <w:keepLines w:val="0"/>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bCs/>
          <w:sz w:val="24"/>
          <w:szCs w:val="24"/>
          <w:highlight w:val="none"/>
        </w:rPr>
        <w:t>、</w:t>
      </w:r>
      <w:r>
        <w:rPr>
          <w:rFonts w:hint="eastAsia" w:ascii="仿宋_GB2312" w:hAnsi="仿宋_GB2312" w:eastAsia="仿宋_GB2312" w:cs="仿宋_GB2312"/>
          <w:sz w:val="24"/>
          <w:szCs w:val="24"/>
          <w:highlight w:val="none"/>
        </w:rPr>
        <w:t>供应商必须由法定代表人或法定代表人正式授权的供应商代表参加开标会，随时接受磋商小组询问，并予以解答。</w:t>
      </w:r>
    </w:p>
    <w:p w14:paraId="17FA9F1C">
      <w:pPr>
        <w:keepNext w:val="0"/>
        <w:keepLines w:val="0"/>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投标报价不得超过最高限价，否则视为无效投标。</w:t>
      </w:r>
    </w:p>
    <w:p w14:paraId="10E78B37">
      <w:pPr>
        <w:pStyle w:val="33"/>
        <w:keepNext w:val="0"/>
        <w:keepLines w:val="0"/>
        <w:pageBreakBefore w:val="0"/>
        <w:widowControl w:val="0"/>
        <w:kinsoku/>
        <w:wordWrap/>
        <w:overflowPunct/>
        <w:topLinePunct w:val="0"/>
        <w:bidi w:val="0"/>
        <w:snapToGrid/>
        <w:spacing w:line="360" w:lineRule="auto"/>
        <w:jc w:val="center"/>
        <w:textAlignment w:val="auto"/>
        <w:outlineLvl w:val="0"/>
        <w:rPr>
          <w:rStyle w:val="44"/>
          <w:rFonts w:hint="eastAsia" w:asciiTheme="minorEastAsia" w:hAnsiTheme="minorEastAsia" w:eastAsiaTheme="minorEastAsia" w:cstheme="minorEastAsia"/>
          <w:highlight w:val="none"/>
        </w:rPr>
      </w:pPr>
      <w:bookmarkStart w:id="6" w:name="_Toc490059885"/>
      <w:r>
        <w:rPr>
          <w:rFonts w:hint="eastAsia"/>
          <w:highlight w:val="none"/>
        </w:rPr>
        <w:br w:type="page"/>
      </w:r>
      <w:bookmarkEnd w:id="5"/>
      <w:bookmarkEnd w:id="6"/>
      <w:bookmarkStart w:id="7" w:name="_Toc419227500"/>
      <w:bookmarkStart w:id="8" w:name="_Toc29452"/>
      <w:bookmarkStart w:id="9" w:name="_Toc18830"/>
      <w:bookmarkStart w:id="10" w:name="_Toc277835141"/>
      <w:r>
        <w:rPr>
          <w:rStyle w:val="44"/>
          <w:rFonts w:hint="eastAsia" w:asciiTheme="minorEastAsia" w:hAnsiTheme="minorEastAsia" w:eastAsiaTheme="minorEastAsia" w:cstheme="minorEastAsia"/>
          <w:highlight w:val="none"/>
        </w:rPr>
        <w:t>第二章  磋商投标人须知</w:t>
      </w:r>
      <w:bookmarkEnd w:id="7"/>
      <w:bookmarkEnd w:id="8"/>
      <w:bookmarkEnd w:id="9"/>
    </w:p>
    <w:p w14:paraId="57A49FD0">
      <w:pPr>
        <w:keepNext w:val="0"/>
        <w:keepLines w:val="0"/>
        <w:pageBreakBefore w:val="0"/>
        <w:kinsoku/>
        <w:wordWrap/>
        <w:overflowPunct/>
        <w:topLinePunct w:val="0"/>
        <w:autoSpaceDE/>
        <w:autoSpaceDN/>
        <w:bidi w:val="0"/>
        <w:spacing w:line="360" w:lineRule="auto"/>
        <w:ind w:left="0" w:leftChars="0" w:firstLine="0" w:firstLineChars="0"/>
        <w:jc w:val="center"/>
        <w:textAlignment w:val="auto"/>
        <w:outlineLvl w:val="1"/>
        <w:rPr>
          <w:rFonts w:hint="eastAsia" w:ascii="仿宋_GB2312" w:hAnsi="仿宋_GB2312" w:eastAsia="仿宋_GB2312" w:cs="仿宋_GB2312"/>
          <w:b/>
          <w:sz w:val="24"/>
          <w:szCs w:val="24"/>
          <w:highlight w:val="none"/>
        </w:rPr>
      </w:pPr>
      <w:bookmarkStart w:id="11" w:name="_Toc20883"/>
      <w:bookmarkStart w:id="12" w:name="_Toc5295"/>
      <w:bookmarkStart w:id="13" w:name="_Toc419227501"/>
      <w:r>
        <w:rPr>
          <w:rFonts w:hint="eastAsia" w:ascii="仿宋_GB2312" w:hAnsi="仿宋_GB2312" w:eastAsia="仿宋_GB2312" w:cs="仿宋_GB2312"/>
          <w:b/>
          <w:bCs/>
          <w:sz w:val="24"/>
          <w:szCs w:val="24"/>
          <w:highlight w:val="none"/>
          <w:lang w:val="en-US" w:eastAsia="zh-CN"/>
        </w:rPr>
        <w:t>一</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sz w:val="24"/>
          <w:szCs w:val="24"/>
          <w:highlight w:val="none"/>
        </w:rPr>
        <w:t>磋商投标人须知前附表</w:t>
      </w:r>
      <w:bookmarkEnd w:id="11"/>
      <w:bookmarkEnd w:id="12"/>
      <w:bookmarkEnd w:id="13"/>
    </w:p>
    <w:p w14:paraId="08AA985E">
      <w:pPr>
        <w:keepNext w:val="0"/>
        <w:keepLines w:val="0"/>
        <w:pageBreakBefore w:val="0"/>
        <w:kinsoku/>
        <w:wordWrap/>
        <w:overflowPunct/>
        <w:topLinePunct w:val="0"/>
        <w:autoSpaceDE/>
        <w:autoSpaceDN/>
        <w:bidi w:val="0"/>
        <w:spacing w:line="360" w:lineRule="auto"/>
        <w:ind w:firstLine="472" w:firstLineChars="19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本须知前附表的项号与磋商文件内容如有矛盾，应以本须知前附表为准。 </w:t>
      </w:r>
    </w:p>
    <w:tbl>
      <w:tblPr>
        <w:tblStyle w:val="21"/>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165"/>
      </w:tblGrid>
      <w:tr w14:paraId="2639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9" w:type="dxa"/>
            <w:vAlign w:val="center"/>
          </w:tcPr>
          <w:p w14:paraId="047BF98E">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项号</w:t>
            </w:r>
          </w:p>
        </w:tc>
        <w:tc>
          <w:tcPr>
            <w:tcW w:w="8165" w:type="dxa"/>
            <w:vAlign w:val="center"/>
          </w:tcPr>
          <w:p w14:paraId="4EEACC1E">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编   列   内    容</w:t>
            </w:r>
          </w:p>
        </w:tc>
      </w:tr>
      <w:tr w14:paraId="3FAB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69" w:type="dxa"/>
            <w:vAlign w:val="center"/>
          </w:tcPr>
          <w:p w14:paraId="581CDA60">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8165" w:type="dxa"/>
            <w:vAlign w:val="top"/>
          </w:tcPr>
          <w:p w14:paraId="789331E2">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kern w:val="0"/>
                <w:sz w:val="24"/>
                <w:szCs w:val="24"/>
                <w:highlight w:val="none"/>
                <w:lang w:eastAsia="zh-CN" w:bidi="ar"/>
              </w:rPr>
              <w:t>项目软件技术开发服务</w:t>
            </w:r>
          </w:p>
          <w:p w14:paraId="7B5DBBFA">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sz w:val="24"/>
                <w:szCs w:val="24"/>
                <w:highlight w:val="none"/>
              </w:rPr>
              <w:t>采购人名称：</w:t>
            </w:r>
            <w:r>
              <w:rPr>
                <w:rFonts w:hint="eastAsia" w:ascii="仿宋_GB2312" w:hAnsi="仿宋_GB2312" w:eastAsia="仿宋_GB2312" w:cs="仿宋_GB2312"/>
                <w:kern w:val="0"/>
                <w:sz w:val="24"/>
                <w:szCs w:val="24"/>
                <w:highlight w:val="none"/>
                <w:lang w:eastAsia="zh-CN" w:bidi="ar"/>
              </w:rPr>
              <w:t>福建省穗龙数字科技有限公司</w:t>
            </w:r>
          </w:p>
          <w:p w14:paraId="32D99CF4">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sz w:val="24"/>
                <w:szCs w:val="24"/>
                <w:highlight w:val="none"/>
              </w:rPr>
              <w:t>项目内容：详见《</w:t>
            </w:r>
            <w:r>
              <w:rPr>
                <w:rFonts w:hint="eastAsia" w:ascii="仿宋_GB2312" w:hAnsi="仿宋_GB2312" w:eastAsia="仿宋_GB2312" w:cs="仿宋_GB2312"/>
                <w:sz w:val="24"/>
                <w:szCs w:val="24"/>
                <w:highlight w:val="none"/>
                <w:lang w:eastAsia="zh-CN"/>
              </w:rPr>
              <w:t>磋商内容与技术要求</w:t>
            </w:r>
            <w:r>
              <w:rPr>
                <w:rFonts w:hint="eastAsia" w:ascii="仿宋_GB2312" w:hAnsi="仿宋_GB2312" w:eastAsia="仿宋_GB2312" w:cs="仿宋_GB2312"/>
                <w:sz w:val="24"/>
                <w:szCs w:val="24"/>
                <w:highlight w:val="none"/>
              </w:rPr>
              <w:t>》</w:t>
            </w:r>
          </w:p>
          <w:p w14:paraId="467FA1CD">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项目编号：</w:t>
            </w:r>
            <w:r>
              <w:rPr>
                <w:rFonts w:hint="eastAsia" w:ascii="仿宋_GB2312" w:hAnsi="仿宋_GB2312" w:eastAsia="仿宋_GB2312" w:cs="仿宋_GB2312"/>
                <w:sz w:val="24"/>
                <w:szCs w:val="24"/>
                <w:highlight w:val="none"/>
                <w:lang w:val="en-US" w:eastAsia="zh-CN"/>
              </w:rPr>
              <w:t>SLSK【CS】2025001</w:t>
            </w:r>
          </w:p>
        </w:tc>
      </w:tr>
      <w:tr w14:paraId="576C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vAlign w:val="center"/>
          </w:tcPr>
          <w:p w14:paraId="3ECAF282">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8165" w:type="dxa"/>
            <w:vAlign w:val="top"/>
          </w:tcPr>
          <w:p w14:paraId="441E47C9">
            <w:pPr>
              <w:pStyle w:val="18"/>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Style w:val="24"/>
                <w:rFonts w:hint="eastAsia" w:ascii="仿宋_GB2312" w:hAnsi="仿宋_GB2312" w:eastAsia="仿宋_GB2312" w:cs="仿宋_GB2312"/>
                <w:b/>
                <w:bCs/>
                <w:spacing w:val="0"/>
                <w:sz w:val="24"/>
                <w:szCs w:val="24"/>
                <w:highlight w:val="none"/>
              </w:rPr>
              <w:t>供应商的资格要求</w:t>
            </w:r>
            <w:r>
              <w:rPr>
                <w:rFonts w:hint="eastAsia" w:ascii="仿宋_GB2312" w:hAnsi="仿宋_GB2312" w:eastAsia="仿宋_GB2312" w:cs="仿宋_GB2312"/>
                <w:spacing w:val="0"/>
                <w:sz w:val="24"/>
                <w:szCs w:val="24"/>
                <w:highlight w:val="none"/>
              </w:rPr>
              <w:t>：</w:t>
            </w:r>
          </w:p>
          <w:tbl>
            <w:tblPr>
              <w:tblStyle w:val="21"/>
              <w:tblW w:w="4987" w:type="pct"/>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2371"/>
              <w:gridCol w:w="5541"/>
            </w:tblGrid>
            <w:tr w14:paraId="79A803C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4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D5CB63">
                  <w:pPr>
                    <w:keepNext w:val="0"/>
                    <w:keepLines w:val="0"/>
                    <w:pageBreakBefore w:val="0"/>
                    <w:widowControl/>
                    <w:kinsoku/>
                    <w:wordWrap/>
                    <w:overflowPunct/>
                    <w:topLinePunct w:val="0"/>
                    <w:autoSpaceDE/>
                    <w:autoSpaceDN/>
                    <w:bidi w:val="0"/>
                    <w:spacing w:line="360" w:lineRule="auto"/>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szCs w:val="24"/>
                      <w:highlight w:val="none"/>
                      <w:lang w:bidi="ar"/>
                    </w:rPr>
                    <w:t>明细</w:t>
                  </w:r>
                </w:p>
              </w:tc>
              <w:tc>
                <w:tcPr>
                  <w:tcW w:w="35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91B598">
                  <w:pPr>
                    <w:keepNext w:val="0"/>
                    <w:keepLines w:val="0"/>
                    <w:pageBreakBefore w:val="0"/>
                    <w:widowControl/>
                    <w:kinsoku/>
                    <w:wordWrap/>
                    <w:overflowPunct/>
                    <w:topLinePunct w:val="0"/>
                    <w:autoSpaceDE/>
                    <w:autoSpaceDN/>
                    <w:bidi w:val="0"/>
                    <w:spacing w:line="360" w:lineRule="auto"/>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szCs w:val="24"/>
                      <w:highlight w:val="none"/>
                      <w:lang w:bidi="ar"/>
                    </w:rPr>
                    <w:t>描述</w:t>
                  </w:r>
                </w:p>
              </w:tc>
            </w:tr>
            <w:tr w14:paraId="6882AC1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9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E3551CC">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A1单位负责人授权书</w:t>
                  </w:r>
                </w:p>
              </w:tc>
              <w:tc>
                <w:tcPr>
                  <w:tcW w:w="35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8FA6E99">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auto"/>
                      <w:sz w:val="24"/>
                      <w:szCs w:val="24"/>
                      <w:highlight w:val="none"/>
                    </w:rPr>
                  </w:pPr>
                </w:p>
              </w:tc>
            </w:tr>
            <w:tr w14:paraId="5E868DD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9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B2793C4">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A2法人或者其他组织的营业执照等证明文件</w:t>
                  </w:r>
                </w:p>
              </w:tc>
              <w:tc>
                <w:tcPr>
                  <w:tcW w:w="35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87F1F26">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投标人是企业或个体工商户的，则提供工商部门注册的有效的营业执照复印件；投标人是事业单位的，则提供有效的“事业单位法人证书”复印件；投标人是非企业专业服务机构的，则提供执业许可等证明材料；</w:t>
                  </w:r>
                </w:p>
              </w:tc>
            </w:tr>
            <w:tr w14:paraId="443D37B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9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4F9C3E8">
                  <w:pPr>
                    <w:keepNext w:val="0"/>
                    <w:keepLines w:val="0"/>
                    <w:pageBreakBefore w:val="0"/>
                    <w:widowControl/>
                    <w:kinsoku/>
                    <w:wordWrap/>
                    <w:overflowPunct/>
                    <w:topLinePunct w:val="0"/>
                    <w:autoSpaceDE/>
                    <w:autoSpaceDN/>
                    <w:bidi w:val="0"/>
                    <w:adjustRightInd/>
                    <w:snapToGrid/>
                    <w:spacing w:beforeAutospacing="0" w:afterAutospacing="0" w:line="360" w:lineRule="auto"/>
                    <w:ind w:left="105" w:leftChars="50" w:right="105" w:rightChars="50"/>
                    <w:jc w:val="lef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A3关于</w:t>
                  </w:r>
                  <w:r>
                    <w:rPr>
                      <w:rFonts w:hint="eastAsia" w:ascii="仿宋_GB2312" w:hAnsi="仿宋_GB2312" w:eastAsia="仿宋_GB2312" w:cs="仿宋_GB2312"/>
                      <w:kern w:val="0"/>
                      <w:sz w:val="24"/>
                      <w:szCs w:val="24"/>
                      <w:highlight w:val="none"/>
                      <w:lang w:bidi="ar"/>
                    </w:rPr>
                    <w:t>“财务状况报告”项、“依法缴纳税收的相关证明材料”项和“依法缴纳社会保障资金的相关证明材料”</w:t>
                  </w:r>
                  <w:r>
                    <w:rPr>
                      <w:rFonts w:hint="eastAsia" w:ascii="仿宋_GB2312" w:hAnsi="仿宋_GB2312" w:eastAsia="仿宋_GB2312" w:cs="仿宋_GB2312"/>
                      <w:kern w:val="0"/>
                      <w:sz w:val="24"/>
                      <w:szCs w:val="24"/>
                      <w:highlight w:val="none"/>
                      <w:lang w:val="en-US" w:eastAsia="zh-CN" w:bidi="ar"/>
                    </w:rPr>
                    <w:t>承诺函</w:t>
                  </w:r>
                </w:p>
              </w:tc>
              <w:tc>
                <w:tcPr>
                  <w:tcW w:w="35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7FD81BD">
                  <w:pPr>
                    <w:keepNext w:val="0"/>
                    <w:keepLines w:val="0"/>
                    <w:pageBreakBefore w:val="0"/>
                    <w:widowControl/>
                    <w:kinsoku/>
                    <w:wordWrap/>
                    <w:overflowPunct/>
                    <w:topLinePunct w:val="0"/>
                    <w:autoSpaceDE/>
                    <w:autoSpaceDN/>
                    <w:bidi w:val="0"/>
                    <w:adjustRightInd/>
                    <w:snapToGrid/>
                    <w:spacing w:beforeAutospacing="0" w:afterAutospacing="0" w:line="360" w:lineRule="auto"/>
                    <w:ind w:left="105" w:leftChars="50" w:right="105" w:rightChars="50"/>
                    <w:jc w:val="lef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kern w:val="0"/>
                      <w:sz w:val="24"/>
                      <w:szCs w:val="24"/>
                      <w:highlight w:val="none"/>
                      <w:lang w:bidi="ar"/>
                    </w:rPr>
                    <w:t>据《龙岩市财政局关于简化政府采购供应商资格证明材料的通知》，针对预算金额在200万元以内的政府采购项目，一般资格证明文件中“财务状况报告”项、“依法缴纳税收的相关证明材料”项和“依法缴纳社会保障资金的相关证明材料”项，供应商可自行选择是否提供承诺函。按照规定提供相关承诺函的供应商，无需再提供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法律责任</w:t>
                  </w:r>
                </w:p>
              </w:tc>
            </w:tr>
            <w:tr w14:paraId="59B7107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9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90D745E">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A</w:t>
                  </w: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color w:val="auto"/>
                      <w:kern w:val="0"/>
                      <w:sz w:val="24"/>
                      <w:szCs w:val="24"/>
                      <w:highlight w:val="none"/>
                      <w:lang w:bidi="ar"/>
                    </w:rPr>
                    <w:t>参加政府采购活动前3年内在经营活动中没有重大违法记录的书面声明</w:t>
                  </w:r>
                </w:p>
              </w:tc>
              <w:tc>
                <w:tcPr>
                  <w:tcW w:w="35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2764839">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1、“重大违法记录”指竞争性磋商供应商因违法经营受到刑事处罚或责令停产停业、吊销许可证或执照、较大数额罚款等行政处罚。2、纸质响应文件正本中的本声明应为原件。</w:t>
                  </w:r>
                </w:p>
              </w:tc>
            </w:tr>
            <w:tr w14:paraId="435AD8A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9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E29F81D">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A</w:t>
                  </w: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color w:val="auto"/>
                      <w:kern w:val="0"/>
                      <w:sz w:val="24"/>
                      <w:szCs w:val="24"/>
                      <w:highlight w:val="none"/>
                      <w:lang w:bidi="ar"/>
                    </w:rPr>
                    <w:t>信用信息查询结果</w:t>
                  </w:r>
                </w:p>
              </w:tc>
              <w:tc>
                <w:tcPr>
                  <w:tcW w:w="35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859DC84">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应在磋商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tc>
            </w:tr>
            <w:tr w14:paraId="76DD245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9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1C170B1">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A6投标保证金</w:t>
                  </w:r>
                </w:p>
              </w:tc>
              <w:tc>
                <w:tcPr>
                  <w:tcW w:w="35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DC6B56B">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无</w:t>
                  </w:r>
                </w:p>
              </w:tc>
            </w:tr>
          </w:tbl>
          <w:p w14:paraId="74070D7F">
            <w:pPr>
              <w:pStyle w:val="18"/>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0"/>
                <w:sz w:val="24"/>
                <w:szCs w:val="24"/>
                <w:highlight w:val="none"/>
              </w:rPr>
              <w:t>特定资格条件：</w:t>
            </w:r>
            <w:r>
              <w:rPr>
                <w:rFonts w:hint="eastAsia" w:ascii="仿宋_GB2312" w:hAnsi="仿宋_GB2312" w:eastAsia="仿宋_GB2312" w:cs="仿宋_GB2312"/>
                <w:b/>
                <w:bCs/>
                <w:spacing w:val="0"/>
                <w:sz w:val="24"/>
                <w:szCs w:val="24"/>
                <w:highlight w:val="none"/>
                <w:lang w:eastAsia="zh-CN"/>
              </w:rPr>
              <w:t>供应商需为龙岩人才和大数据发展集团有限公司信息化项目供应商备选库内企业（需提供入库框架协议复印件</w:t>
            </w:r>
            <w:r>
              <w:rPr>
                <w:rFonts w:hint="eastAsia" w:ascii="仿宋_GB2312" w:hAnsi="仿宋_GB2312" w:eastAsia="仿宋_GB2312" w:cs="仿宋_GB2312"/>
                <w:spacing w:val="0"/>
                <w:sz w:val="24"/>
                <w:szCs w:val="24"/>
                <w:highlight w:val="none"/>
                <w:lang w:eastAsia="zh-CN"/>
              </w:rPr>
              <w:t>）</w:t>
            </w:r>
          </w:p>
          <w:p w14:paraId="1CD9DF6D">
            <w:pPr>
              <w:pStyle w:val="18"/>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仿宋_GB2312" w:hAnsi="仿宋_GB2312" w:eastAsia="仿宋_GB2312" w:cs="仿宋_GB2312"/>
                <w:bCs/>
                <w:sz w:val="24"/>
                <w:szCs w:val="24"/>
                <w:highlight w:val="none"/>
              </w:rPr>
            </w:pPr>
            <w:r>
              <w:rPr>
                <w:rStyle w:val="24"/>
                <w:rFonts w:hint="eastAsia" w:ascii="仿宋_GB2312" w:hAnsi="仿宋_GB2312" w:eastAsia="仿宋_GB2312" w:cs="仿宋_GB2312"/>
                <w:b/>
                <w:bCs/>
                <w:spacing w:val="0"/>
                <w:sz w:val="24"/>
                <w:szCs w:val="24"/>
                <w:highlight w:val="none"/>
                <w:shd w:val="clear" w:fill="FFFFFF"/>
              </w:rPr>
              <w:t>包</w:t>
            </w:r>
            <w:r>
              <w:rPr>
                <w:rStyle w:val="24"/>
                <w:rFonts w:hint="eastAsia" w:ascii="仿宋_GB2312" w:hAnsi="仿宋_GB2312" w:eastAsia="仿宋_GB2312" w:cs="仿宋_GB2312"/>
                <w:b/>
                <w:bCs/>
                <w:spacing w:val="0"/>
                <w:sz w:val="24"/>
                <w:szCs w:val="24"/>
                <w:highlight w:val="none"/>
                <w:shd w:val="clear" w:fill="FFFFFF"/>
                <w:lang w:eastAsia="zh-CN"/>
              </w:rPr>
              <w:t>：</w:t>
            </w:r>
            <w:r>
              <w:rPr>
                <w:rStyle w:val="24"/>
                <w:rFonts w:hint="eastAsia" w:ascii="仿宋_GB2312" w:hAnsi="仿宋_GB2312" w:eastAsia="仿宋_GB2312" w:cs="仿宋_GB2312"/>
                <w:b/>
                <w:bCs/>
                <w:spacing w:val="0"/>
                <w:sz w:val="24"/>
                <w:szCs w:val="24"/>
                <w:highlight w:val="none"/>
                <w:shd w:val="clear" w:fill="FFFFFF"/>
                <w:lang w:val="en-US" w:eastAsia="zh-CN"/>
              </w:rPr>
              <w:t>1。</w:t>
            </w:r>
          </w:p>
        </w:tc>
      </w:tr>
      <w:tr w14:paraId="2D72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69" w:type="dxa"/>
            <w:vAlign w:val="center"/>
          </w:tcPr>
          <w:p w14:paraId="04F71741">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8165" w:type="dxa"/>
            <w:vAlign w:val="center"/>
          </w:tcPr>
          <w:p w14:paraId="18A4D9E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Cs/>
                <w:sz w:val="24"/>
                <w:szCs w:val="24"/>
                <w:highlight w:val="none"/>
              </w:rPr>
            </w:pPr>
            <w:r>
              <w:rPr>
                <w:rStyle w:val="24"/>
                <w:rFonts w:hint="eastAsia" w:ascii="仿宋_GB2312" w:hAnsi="仿宋_GB2312" w:eastAsia="仿宋_GB2312" w:cs="仿宋_GB2312"/>
                <w:b/>
                <w:bCs/>
                <w:spacing w:val="0"/>
                <w:sz w:val="24"/>
                <w:szCs w:val="24"/>
                <w:highlight w:val="none"/>
              </w:rPr>
              <w:t>是否接受联合体形式的响应磋商：</w:t>
            </w:r>
            <w:r>
              <w:rPr>
                <w:rStyle w:val="24"/>
                <w:rFonts w:hint="eastAsia" w:ascii="仿宋_GB2312" w:hAnsi="仿宋_GB2312" w:eastAsia="仿宋_GB2312" w:cs="仿宋_GB2312"/>
                <w:b w:val="0"/>
                <w:bCs w:val="0"/>
                <w:spacing w:val="0"/>
                <w:sz w:val="24"/>
                <w:szCs w:val="24"/>
                <w:highlight w:val="none"/>
                <w:lang w:val="en-US" w:eastAsia="zh-CN"/>
              </w:rPr>
              <w:t>不</w:t>
            </w:r>
            <w:r>
              <w:rPr>
                <w:rFonts w:hint="eastAsia" w:ascii="仿宋_GB2312" w:hAnsi="仿宋_GB2312" w:eastAsia="仿宋_GB2312" w:cs="仿宋_GB2312"/>
                <w:b w:val="0"/>
                <w:bCs w:val="0"/>
                <w:spacing w:val="0"/>
                <w:sz w:val="24"/>
                <w:szCs w:val="24"/>
                <w:highlight w:val="none"/>
              </w:rPr>
              <w:t>接受</w:t>
            </w:r>
            <w:r>
              <w:rPr>
                <w:rFonts w:hint="eastAsia" w:ascii="仿宋_GB2312" w:hAnsi="仿宋_GB2312" w:eastAsia="仿宋_GB2312" w:cs="仿宋_GB2312"/>
                <w:b w:val="0"/>
                <w:bCs w:val="0"/>
                <w:spacing w:val="0"/>
                <w:sz w:val="24"/>
                <w:szCs w:val="24"/>
                <w:highlight w:val="none"/>
                <w:lang w:eastAsia="zh-CN"/>
              </w:rPr>
              <w:t>。</w:t>
            </w:r>
          </w:p>
        </w:tc>
      </w:tr>
      <w:tr w14:paraId="1BAA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69" w:type="dxa"/>
            <w:vAlign w:val="center"/>
          </w:tcPr>
          <w:p w14:paraId="085580BE">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p>
        </w:tc>
        <w:tc>
          <w:tcPr>
            <w:tcW w:w="8165" w:type="dxa"/>
            <w:vAlign w:val="top"/>
          </w:tcPr>
          <w:p w14:paraId="55D75DB5">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响应有效期：提交响应文件截止时间结束后</w:t>
            </w:r>
            <w:r>
              <w:rPr>
                <w:rFonts w:hint="eastAsia" w:ascii="仿宋_GB2312" w:hAnsi="仿宋_GB2312" w:eastAsia="仿宋_GB2312" w:cs="仿宋_GB2312"/>
                <w:sz w:val="24"/>
                <w:szCs w:val="24"/>
                <w:highlight w:val="none"/>
                <w:u w:val="single"/>
              </w:rPr>
              <w:t>30</w:t>
            </w:r>
            <w:r>
              <w:rPr>
                <w:rFonts w:hint="eastAsia" w:ascii="仿宋_GB2312" w:hAnsi="仿宋_GB2312" w:eastAsia="仿宋_GB2312" w:cs="仿宋_GB2312"/>
                <w:sz w:val="24"/>
                <w:szCs w:val="24"/>
                <w:highlight w:val="none"/>
              </w:rPr>
              <w:t>日历日。</w:t>
            </w:r>
          </w:p>
          <w:p w14:paraId="3B272399">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有效期不足将导致其响应文件被拒绝。</w:t>
            </w:r>
          </w:p>
        </w:tc>
      </w:tr>
      <w:tr w14:paraId="0CEE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69" w:type="dxa"/>
            <w:vAlign w:val="center"/>
          </w:tcPr>
          <w:p w14:paraId="2568F7D4">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5</w:t>
            </w:r>
          </w:p>
        </w:tc>
        <w:tc>
          <w:tcPr>
            <w:tcW w:w="8165" w:type="dxa"/>
            <w:vAlign w:val="top"/>
          </w:tcPr>
          <w:p w14:paraId="450CBDD8">
            <w:pPr>
              <w:keepNext w:val="0"/>
              <w:keepLines w:val="0"/>
              <w:pageBreakBefore w:val="0"/>
              <w:tabs>
                <w:tab w:val="left" w:pos="540"/>
              </w:tabs>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highlight w:val="none"/>
                <w:u w:val="single"/>
              </w:rPr>
            </w:pPr>
            <w:r>
              <w:rPr>
                <w:rFonts w:hint="eastAsia" w:ascii="仿宋_GB2312" w:hAnsi="仿宋_GB2312" w:eastAsia="仿宋_GB2312" w:cs="仿宋_GB2312"/>
                <w:sz w:val="24"/>
                <w:szCs w:val="24"/>
                <w:highlight w:val="none"/>
              </w:rPr>
              <w:t>响应文件递交地址：</w:t>
            </w:r>
            <w:r>
              <w:rPr>
                <w:rFonts w:hint="eastAsia" w:ascii="仿宋_GB2312" w:hAnsi="仿宋_GB2312" w:eastAsia="仿宋_GB2312" w:cs="仿宋_GB2312"/>
                <w:b/>
                <w:bCs/>
                <w:sz w:val="24"/>
                <w:szCs w:val="24"/>
                <w:highlight w:val="none"/>
                <w:u w:val="single"/>
                <w:lang w:eastAsia="zh-CN"/>
              </w:rPr>
              <w:t>福建省龙岩市新罗区西陂街道龙岩大道298号兴业大厦14楼福建省穗龙数字科技有限公司</w:t>
            </w:r>
            <w:r>
              <w:rPr>
                <w:rFonts w:hint="eastAsia" w:ascii="仿宋_GB2312" w:hAnsi="仿宋_GB2312" w:eastAsia="仿宋_GB2312" w:cs="仿宋_GB2312"/>
                <w:b/>
                <w:bCs/>
                <w:sz w:val="24"/>
                <w:szCs w:val="24"/>
                <w:highlight w:val="none"/>
                <w:u w:val="single"/>
              </w:rPr>
              <w:t>。</w:t>
            </w:r>
          </w:p>
          <w:p w14:paraId="33BB04D1">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提交响应文件截止时间：</w:t>
            </w:r>
            <w:r>
              <w:rPr>
                <w:rFonts w:hint="eastAsia" w:ascii="仿宋_GB2312" w:hAnsi="仿宋_GB2312" w:eastAsia="仿宋_GB2312" w:cs="仿宋_GB2312"/>
                <w:sz w:val="24"/>
                <w:szCs w:val="24"/>
                <w:highlight w:val="none"/>
                <w:u w:val="none"/>
              </w:rPr>
              <w:t>20</w:t>
            </w:r>
            <w:r>
              <w:rPr>
                <w:rFonts w:hint="eastAsia" w:ascii="仿宋_GB2312" w:hAnsi="仿宋_GB2312" w:eastAsia="仿宋_GB2312" w:cs="仿宋_GB2312"/>
                <w:sz w:val="24"/>
                <w:szCs w:val="24"/>
                <w:highlight w:val="none"/>
                <w:u w:val="none"/>
                <w:lang w:val="en-US" w:eastAsia="zh-CN"/>
              </w:rPr>
              <w:t>25</w:t>
            </w:r>
            <w:r>
              <w:rPr>
                <w:rFonts w:hint="eastAsia" w:ascii="仿宋_GB2312" w:hAnsi="仿宋_GB2312" w:eastAsia="仿宋_GB2312" w:cs="仿宋_GB2312"/>
                <w:sz w:val="24"/>
                <w:szCs w:val="24"/>
                <w:highlight w:val="none"/>
                <w:u w:val="none"/>
              </w:rPr>
              <w:t>年</w:t>
            </w:r>
            <w:r>
              <w:rPr>
                <w:rFonts w:hint="eastAsia" w:ascii="仿宋_GB2312" w:hAnsi="仿宋_GB2312" w:eastAsia="仿宋_GB2312" w:cs="仿宋_GB2312"/>
                <w:sz w:val="24"/>
                <w:szCs w:val="24"/>
                <w:highlight w:val="none"/>
                <w:u w:val="none"/>
                <w:lang w:val="en-US" w:eastAsia="zh-CN"/>
              </w:rPr>
              <w:t>03</w:t>
            </w:r>
            <w:r>
              <w:rPr>
                <w:rFonts w:hint="eastAsia" w:ascii="仿宋_GB2312" w:hAnsi="仿宋_GB2312" w:eastAsia="仿宋_GB2312" w:cs="仿宋_GB2312"/>
                <w:sz w:val="24"/>
                <w:szCs w:val="24"/>
                <w:highlight w:val="none"/>
                <w:u w:val="none"/>
              </w:rPr>
              <w:t>月</w:t>
            </w:r>
            <w:r>
              <w:rPr>
                <w:rFonts w:hint="eastAsia" w:ascii="仿宋_GB2312" w:hAnsi="仿宋_GB2312" w:eastAsia="仿宋_GB2312" w:cs="仿宋_GB2312"/>
                <w:sz w:val="24"/>
                <w:szCs w:val="24"/>
                <w:highlight w:val="none"/>
                <w:u w:val="none"/>
                <w:lang w:val="en-US" w:eastAsia="zh-CN"/>
              </w:rPr>
              <w:t>31</w:t>
            </w:r>
            <w:r>
              <w:rPr>
                <w:rFonts w:hint="eastAsia" w:ascii="仿宋_GB2312" w:hAnsi="仿宋_GB2312" w:eastAsia="仿宋_GB2312" w:cs="仿宋_GB2312"/>
                <w:sz w:val="24"/>
                <w:szCs w:val="24"/>
                <w:highlight w:val="none"/>
                <w:u w:val="none"/>
              </w:rPr>
              <w:t>日</w:t>
            </w:r>
            <w:r>
              <w:rPr>
                <w:rFonts w:hint="eastAsia" w:ascii="仿宋_GB2312" w:hAnsi="仿宋_GB2312" w:eastAsia="仿宋_GB2312" w:cs="仿宋_GB2312"/>
                <w:sz w:val="24"/>
                <w:szCs w:val="24"/>
                <w:highlight w:val="none"/>
                <w:u w:val="none"/>
                <w:lang w:eastAsia="zh-CN"/>
              </w:rPr>
              <w:t>上午</w:t>
            </w:r>
            <w:r>
              <w:rPr>
                <w:rFonts w:hint="eastAsia" w:ascii="仿宋_GB2312" w:hAnsi="仿宋_GB2312" w:eastAsia="仿宋_GB2312" w:cs="仿宋_GB2312"/>
                <w:sz w:val="24"/>
                <w:szCs w:val="24"/>
                <w:highlight w:val="none"/>
                <w:u w:val="none"/>
                <w:lang w:val="en-US" w:eastAsia="zh-CN"/>
              </w:rPr>
              <w:t>9</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lang w:val="en-US" w:eastAsia="zh-CN"/>
              </w:rPr>
              <w:t>00</w:t>
            </w:r>
            <w:r>
              <w:rPr>
                <w:rFonts w:hint="eastAsia" w:ascii="仿宋_GB2312" w:hAnsi="仿宋_GB2312" w:eastAsia="仿宋_GB2312" w:cs="仿宋_GB2312"/>
                <w:sz w:val="24"/>
                <w:szCs w:val="24"/>
                <w:highlight w:val="none"/>
              </w:rPr>
              <w:t>（北京时间）</w:t>
            </w:r>
          </w:p>
        </w:tc>
      </w:tr>
      <w:tr w14:paraId="7D9D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vAlign w:val="center"/>
          </w:tcPr>
          <w:p w14:paraId="5EB5BC83">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6</w:t>
            </w:r>
          </w:p>
        </w:tc>
        <w:tc>
          <w:tcPr>
            <w:tcW w:w="8165" w:type="dxa"/>
            <w:vAlign w:val="top"/>
          </w:tcPr>
          <w:p w14:paraId="6A2E5C7A">
            <w:pPr>
              <w:keepNext w:val="0"/>
              <w:keepLines w:val="0"/>
              <w:pageBreakBefore w:val="0"/>
              <w:tabs>
                <w:tab w:val="left" w:pos="540"/>
              </w:tabs>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本项目磋商响应保证金为人民币</w:t>
            </w:r>
            <w:r>
              <w:rPr>
                <w:rFonts w:hint="eastAsia" w:ascii="仿宋_GB2312" w:hAnsi="仿宋_GB2312" w:eastAsia="仿宋_GB2312" w:cs="仿宋_GB2312"/>
                <w:sz w:val="24"/>
                <w:szCs w:val="24"/>
                <w:highlight w:val="none"/>
                <w:lang w:eastAsia="zh-CN"/>
              </w:rPr>
              <w:t>零元</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0</w:t>
            </w:r>
            <w:r>
              <w:rPr>
                <w:rFonts w:hint="eastAsia" w:ascii="仿宋_GB2312" w:hAnsi="仿宋_GB2312" w:eastAsia="仿宋_GB2312" w:cs="仿宋_GB2312"/>
                <w:sz w:val="24"/>
                <w:szCs w:val="24"/>
                <w:highlight w:val="none"/>
                <w:lang w:val="en-US" w:eastAsia="zh-CN"/>
              </w:rPr>
              <w:t>元</w:t>
            </w:r>
            <w:r>
              <w:rPr>
                <w:rFonts w:hint="eastAsia" w:ascii="仿宋_GB2312" w:hAnsi="仿宋_GB2312" w:eastAsia="仿宋_GB2312" w:cs="仿宋_GB2312"/>
                <w:sz w:val="24"/>
                <w:szCs w:val="24"/>
                <w:highlight w:val="none"/>
              </w:rPr>
              <w:t>）</w:t>
            </w:r>
          </w:p>
        </w:tc>
      </w:tr>
      <w:tr w14:paraId="6FC5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69" w:type="dxa"/>
            <w:vAlign w:val="center"/>
          </w:tcPr>
          <w:p w14:paraId="6F8527A4">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8165" w:type="dxa"/>
            <w:vAlign w:val="top"/>
          </w:tcPr>
          <w:p w14:paraId="59D8A1C5">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评判标准和方法：</w:t>
            </w:r>
            <w:r>
              <w:rPr>
                <w:rFonts w:hint="eastAsia" w:ascii="仿宋_GB2312" w:hAnsi="仿宋_GB2312" w:eastAsia="仿宋_GB2312" w:cs="仿宋_GB2312"/>
                <w:bCs/>
                <w:sz w:val="24"/>
                <w:szCs w:val="24"/>
                <w:highlight w:val="none"/>
              </w:rPr>
              <w:t>由磋商小组采用综合评分法对提交最后报价的供应商的响应文件和最后报价进行综合评分，并</w:t>
            </w:r>
            <w:r>
              <w:rPr>
                <w:rFonts w:hint="eastAsia" w:ascii="仿宋_GB2312" w:hAnsi="仿宋_GB2312" w:eastAsia="仿宋_GB2312" w:cs="仿宋_GB2312"/>
                <w:bCs/>
                <w:color w:val="auto"/>
                <w:sz w:val="24"/>
                <w:szCs w:val="24"/>
                <w:highlight w:val="none"/>
              </w:rPr>
              <w:t>推荐</w:t>
            </w:r>
            <w:r>
              <w:rPr>
                <w:rFonts w:hint="eastAsia" w:ascii="仿宋_GB2312" w:hAnsi="仿宋_GB2312" w:eastAsia="仿宋_GB2312" w:cs="仿宋_GB2312"/>
                <w:b/>
                <w:color w:val="auto"/>
                <w:sz w:val="24"/>
                <w:szCs w:val="24"/>
                <w:highlight w:val="none"/>
                <w:lang w:val="en-US" w:eastAsia="zh-CN"/>
              </w:rPr>
              <w:t>1</w:t>
            </w:r>
            <w:r>
              <w:rPr>
                <w:rFonts w:hint="eastAsia" w:ascii="仿宋_GB2312" w:hAnsi="仿宋_GB2312" w:eastAsia="仿宋_GB2312" w:cs="仿宋_GB2312"/>
                <w:b/>
                <w:color w:val="auto"/>
                <w:sz w:val="24"/>
                <w:szCs w:val="24"/>
                <w:highlight w:val="none"/>
              </w:rPr>
              <w:t>名成交候选人</w:t>
            </w:r>
            <w:r>
              <w:rPr>
                <w:rFonts w:hint="eastAsia" w:ascii="仿宋_GB2312" w:hAnsi="仿宋_GB2312" w:eastAsia="仿宋_GB2312" w:cs="仿宋_GB2312"/>
                <w:bCs/>
                <w:color w:val="auto"/>
                <w:sz w:val="24"/>
                <w:szCs w:val="24"/>
                <w:highlight w:val="none"/>
              </w:rPr>
              <w:t>，具</w:t>
            </w:r>
            <w:r>
              <w:rPr>
                <w:rFonts w:hint="eastAsia" w:ascii="仿宋_GB2312" w:hAnsi="仿宋_GB2312" w:eastAsia="仿宋_GB2312" w:cs="仿宋_GB2312"/>
                <w:bCs/>
                <w:sz w:val="24"/>
                <w:szCs w:val="24"/>
                <w:highlight w:val="none"/>
              </w:rPr>
              <w:t>体评标标准和方法详见附件1。</w:t>
            </w:r>
          </w:p>
        </w:tc>
      </w:tr>
      <w:tr w14:paraId="5EA3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69" w:type="dxa"/>
            <w:vAlign w:val="center"/>
          </w:tcPr>
          <w:p w14:paraId="15FE86B8">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8</w:t>
            </w:r>
          </w:p>
        </w:tc>
        <w:tc>
          <w:tcPr>
            <w:tcW w:w="8165" w:type="dxa"/>
            <w:vAlign w:val="top"/>
          </w:tcPr>
          <w:p w14:paraId="61A2F608">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本项目最高限价：人民币</w:t>
            </w:r>
            <w:r>
              <w:rPr>
                <w:rFonts w:hint="eastAsia" w:ascii="仿宋_GB2312" w:hAnsi="仿宋_GB2312" w:eastAsia="仿宋_GB2312" w:cs="仿宋_GB2312"/>
                <w:b/>
                <w:bCs/>
                <w:sz w:val="24"/>
                <w:szCs w:val="24"/>
                <w:highlight w:val="none"/>
                <w:lang w:eastAsia="zh-CN"/>
              </w:rPr>
              <w:t>肆拾玖</w:t>
            </w:r>
            <w:r>
              <w:rPr>
                <w:rFonts w:hint="eastAsia" w:ascii="仿宋_GB2312" w:hAnsi="仿宋_GB2312" w:eastAsia="仿宋_GB2312" w:cs="仿宋_GB2312"/>
                <w:b/>
                <w:bCs/>
                <w:sz w:val="24"/>
                <w:szCs w:val="24"/>
                <w:highlight w:val="none"/>
                <w:lang w:val="en-US" w:eastAsia="zh-CN"/>
              </w:rPr>
              <w:t>万伍仟元</w:t>
            </w:r>
            <w:r>
              <w:rPr>
                <w:rFonts w:hint="eastAsia" w:ascii="仿宋_GB2312" w:hAnsi="仿宋_GB2312" w:eastAsia="仿宋_GB2312" w:cs="仿宋_GB2312"/>
                <w:b/>
                <w:bCs/>
                <w:sz w:val="24"/>
                <w:szCs w:val="24"/>
                <w:highlight w:val="none"/>
              </w:rPr>
              <w:t>整（￥</w:t>
            </w:r>
            <w:r>
              <w:rPr>
                <w:rFonts w:hint="eastAsia" w:ascii="仿宋_GB2312" w:hAnsi="仿宋_GB2312" w:eastAsia="仿宋_GB2312" w:cs="仿宋_GB2312"/>
                <w:b/>
                <w:bCs/>
                <w:sz w:val="24"/>
                <w:szCs w:val="24"/>
                <w:highlight w:val="none"/>
                <w:lang w:val="en-US" w:eastAsia="zh-CN"/>
              </w:rPr>
              <w:t>495000元</w:t>
            </w:r>
            <w:r>
              <w:rPr>
                <w:rFonts w:hint="eastAsia" w:ascii="仿宋_GB2312" w:hAnsi="仿宋_GB2312" w:eastAsia="仿宋_GB2312" w:cs="仿宋_GB2312"/>
                <w:b/>
                <w:bCs/>
                <w:sz w:val="24"/>
                <w:szCs w:val="24"/>
                <w:highlight w:val="none"/>
              </w:rPr>
              <w:t>）；</w:t>
            </w:r>
          </w:p>
          <w:p w14:paraId="07F41859">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各磋商投标人的磋商响应报价若高于最高限价的，视为无效报价。</w:t>
            </w:r>
          </w:p>
        </w:tc>
      </w:tr>
      <w:tr w14:paraId="309F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969" w:type="dxa"/>
            <w:vAlign w:val="center"/>
          </w:tcPr>
          <w:p w14:paraId="0AFC4E43">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9</w:t>
            </w:r>
          </w:p>
        </w:tc>
        <w:tc>
          <w:tcPr>
            <w:tcW w:w="8165" w:type="dxa"/>
            <w:vAlign w:val="top"/>
          </w:tcPr>
          <w:p w14:paraId="0484BDA0">
            <w:pPr>
              <w:keepNext w:val="0"/>
              <w:keepLines w:val="0"/>
              <w:pageBreakBefore w:val="0"/>
              <w:numPr>
                <w:ilvl w:val="0"/>
                <w:numId w:val="2"/>
              </w:numPr>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磋商投标人应准备响应文件正本壹份和副本</w:t>
            </w:r>
            <w:r>
              <w:rPr>
                <w:rFonts w:hint="eastAsia" w:ascii="仿宋_GB2312" w:hAnsi="仿宋_GB2312" w:eastAsia="仿宋_GB2312" w:cs="仿宋_GB2312"/>
                <w:b/>
                <w:bCs/>
                <w:sz w:val="24"/>
                <w:szCs w:val="24"/>
                <w:highlight w:val="none"/>
                <w:lang w:eastAsia="zh-CN"/>
              </w:rPr>
              <w:t>贰</w:t>
            </w:r>
            <w:r>
              <w:rPr>
                <w:rFonts w:hint="eastAsia" w:ascii="仿宋_GB2312" w:hAnsi="仿宋_GB2312" w:eastAsia="仿宋_GB2312" w:cs="仿宋_GB2312"/>
                <w:b/>
                <w:bCs/>
                <w:sz w:val="24"/>
                <w:szCs w:val="24"/>
                <w:highlight w:val="none"/>
              </w:rPr>
              <w:t>份，响应文件必须用A4幅面纸张打印装订，应编制封面、目录、页码，必须用胶装（为永久性、无破坏不可拆分）装订成册，须加盖骑缝章，并在相应位置签名并加盖公章，并在封面标明“正本”字样；响应文件副本应与正本一致，可以用正本的完整复印件，并在封面标明“副本”字样。正本与副本内容如有不一致之处，则以正本为准。</w:t>
            </w:r>
          </w:p>
          <w:p w14:paraId="162A90E5">
            <w:pPr>
              <w:pStyle w:val="2"/>
              <w:numPr>
                <w:ilvl w:val="0"/>
                <w:numId w:val="0"/>
              </w:numPr>
              <w:spacing w:line="360" w:lineRule="auto"/>
              <w:ind w:firstLine="482" w:firstLineChars="200"/>
              <w:rPr>
                <w:rFonts w:hint="eastAsia"/>
              </w:rPr>
            </w:pPr>
            <w:r>
              <w:rPr>
                <w:rFonts w:hint="eastAsia" w:ascii="仿宋_GB2312" w:hAnsi="仿宋_GB2312" w:eastAsia="仿宋_GB2312" w:cs="仿宋_GB2312"/>
                <w:b/>
                <w:bCs/>
                <w:kern w:val="2"/>
                <w:sz w:val="24"/>
                <w:szCs w:val="24"/>
                <w:highlight w:val="none"/>
                <w:lang w:val="en-US" w:eastAsia="zh-CN" w:bidi="ar-SA"/>
              </w:rPr>
              <w:t>2、电子文件，磋商投标人必须随报价文件提交一套全部响应文件内容盖章版的电子文件发送至采购方邮箱（</w:t>
            </w:r>
            <w:r>
              <w:rPr>
                <w:rFonts w:hint="default" w:ascii="仿宋_GB2312" w:hAnsi="仿宋_GB2312" w:eastAsia="仿宋_GB2312" w:cs="仿宋_GB2312"/>
                <w:b/>
                <w:bCs/>
                <w:kern w:val="2"/>
                <w:sz w:val="24"/>
                <w:szCs w:val="24"/>
                <w:highlight w:val="none"/>
                <w:lang w:val="en-US" w:eastAsia="zh-CN" w:bidi="ar-SA"/>
              </w:rPr>
              <w:fldChar w:fldCharType="begin"/>
            </w:r>
            <w:r>
              <w:rPr>
                <w:rFonts w:hint="default" w:ascii="仿宋_GB2312" w:hAnsi="仿宋_GB2312" w:eastAsia="仿宋_GB2312" w:cs="仿宋_GB2312"/>
                <w:b/>
                <w:bCs/>
                <w:kern w:val="2"/>
                <w:sz w:val="24"/>
                <w:szCs w:val="24"/>
                <w:highlight w:val="none"/>
                <w:lang w:val="en-US" w:eastAsia="zh-CN" w:bidi="ar-SA"/>
              </w:rPr>
              <w:instrText xml:space="preserve"> HYPERLINK "mailto:ydsen@grgbanking.com" </w:instrText>
            </w:r>
            <w:r>
              <w:rPr>
                <w:rFonts w:hint="default" w:ascii="仿宋_GB2312" w:hAnsi="仿宋_GB2312" w:eastAsia="仿宋_GB2312" w:cs="仿宋_GB2312"/>
                <w:b/>
                <w:bCs/>
                <w:kern w:val="2"/>
                <w:sz w:val="24"/>
                <w:szCs w:val="24"/>
                <w:highlight w:val="none"/>
                <w:lang w:val="en-US" w:eastAsia="zh-CN" w:bidi="ar-SA"/>
              </w:rPr>
              <w:fldChar w:fldCharType="separate"/>
            </w:r>
            <w:r>
              <w:rPr>
                <w:rFonts w:hint="eastAsia" w:ascii="仿宋_GB2312" w:hAnsi="仿宋_GB2312" w:eastAsia="仿宋_GB2312" w:cs="仿宋_GB2312"/>
                <w:b/>
                <w:bCs/>
                <w:kern w:val="2"/>
                <w:sz w:val="24"/>
                <w:szCs w:val="24"/>
                <w:highlight w:val="none"/>
                <w:lang w:val="en-US" w:eastAsia="zh-CN" w:bidi="ar-SA"/>
              </w:rPr>
              <w:t>huangjunwen1</w:t>
            </w:r>
            <w:r>
              <w:rPr>
                <w:rFonts w:hint="default" w:ascii="仿宋_GB2312" w:hAnsi="仿宋_GB2312" w:eastAsia="仿宋_GB2312" w:cs="仿宋_GB2312"/>
                <w:b/>
                <w:bCs/>
                <w:kern w:val="2"/>
                <w:sz w:val="24"/>
                <w:szCs w:val="24"/>
                <w:highlight w:val="none"/>
                <w:lang w:val="en-US" w:eastAsia="zh-CN" w:bidi="ar-SA"/>
              </w:rPr>
              <w:t>@grgbanking.com</w:t>
            </w:r>
            <w:r>
              <w:rPr>
                <w:rFonts w:hint="default" w:ascii="仿宋_GB2312" w:hAnsi="仿宋_GB2312" w:eastAsia="仿宋_GB2312" w:cs="仿宋_GB2312"/>
                <w:b/>
                <w:bCs/>
                <w:kern w:val="2"/>
                <w:sz w:val="24"/>
                <w:szCs w:val="24"/>
                <w:highlight w:val="none"/>
                <w:lang w:val="en-US" w:eastAsia="zh-CN" w:bidi="ar-SA"/>
              </w:rPr>
              <w:fldChar w:fldCharType="end"/>
            </w:r>
            <w:r>
              <w:rPr>
                <w:rFonts w:hint="eastAsia" w:ascii="仿宋_GB2312" w:hAnsi="仿宋_GB2312" w:eastAsia="仿宋_GB2312" w:cs="仿宋_GB2312"/>
                <w:b/>
                <w:bCs/>
                <w:kern w:val="2"/>
                <w:sz w:val="24"/>
                <w:szCs w:val="24"/>
                <w:highlight w:val="none"/>
                <w:lang w:val="en-US" w:eastAsia="zh-CN" w:bidi="ar-SA"/>
              </w:rPr>
              <w:t>），其中所有文件不做压缩处理、不留密码，资质文件和证书等可用扫描以图片方式保存。</w:t>
            </w:r>
          </w:p>
        </w:tc>
      </w:tr>
      <w:tr w14:paraId="4D9A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9" w:type="dxa"/>
            <w:vAlign w:val="center"/>
          </w:tcPr>
          <w:p w14:paraId="297B9648">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8165" w:type="dxa"/>
            <w:vAlign w:val="center"/>
          </w:tcPr>
          <w:p w14:paraId="729E6B04">
            <w:pPr>
              <w:keepNext w:val="0"/>
              <w:keepLines w:val="0"/>
              <w:pageBreakBefore w:val="0"/>
              <w:kinsoku/>
              <w:wordWrap/>
              <w:overflowPunct/>
              <w:topLinePunct w:val="0"/>
              <w:autoSpaceDE/>
              <w:autoSpaceDN/>
              <w:bidi w:val="0"/>
              <w:spacing w:line="360" w:lineRule="auto"/>
              <w:jc w:val="both"/>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代理服务费：</w:t>
            </w:r>
            <w:r>
              <w:rPr>
                <w:rFonts w:hint="eastAsia" w:ascii="仿宋_GB2312" w:hAnsi="仿宋_GB2312" w:eastAsia="仿宋_GB2312" w:cs="仿宋_GB2312"/>
                <w:bCs/>
                <w:sz w:val="24"/>
                <w:szCs w:val="24"/>
                <w:highlight w:val="none"/>
                <w:lang w:eastAsia="zh-CN"/>
              </w:rPr>
              <w:t>本项目不涉及代理服务。</w:t>
            </w:r>
          </w:p>
          <w:p w14:paraId="362C53EA">
            <w:pPr>
              <w:pStyle w:val="2"/>
              <w:spacing w:line="360" w:lineRule="auto"/>
              <w:ind w:firstLine="480" w:firstLineChars="200"/>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评审服务费:评审服务费用1000元，由成交人于采购结果公告发布后五个工作日内转账至龙岩市公物采购招标代理有限公司账户。</w:t>
            </w:r>
          </w:p>
          <w:p w14:paraId="587CEA00">
            <w:pPr>
              <w:pStyle w:val="2"/>
              <w:spacing w:line="360" w:lineRule="auto"/>
              <w:ind w:firstLine="480" w:firstLineChars="200"/>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开户行：兴业银行龙岩分行</w:t>
            </w:r>
          </w:p>
          <w:p w14:paraId="1DA660DB">
            <w:pPr>
              <w:pStyle w:val="2"/>
              <w:spacing w:line="360" w:lineRule="auto"/>
              <w:ind w:firstLine="480" w:firstLineChars="200"/>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开户名：龙岩市公物采购招标代理有限公司</w:t>
            </w:r>
          </w:p>
          <w:p w14:paraId="4C107F4B">
            <w:pPr>
              <w:pStyle w:val="2"/>
              <w:spacing w:line="360" w:lineRule="auto"/>
              <w:ind w:firstLine="480" w:firstLineChars="200"/>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账号：171030100100100399</w:t>
            </w:r>
          </w:p>
          <w:p w14:paraId="39794517">
            <w:pPr>
              <w:pStyle w:val="2"/>
              <w:spacing w:line="360" w:lineRule="auto"/>
              <w:ind w:firstLine="480" w:firstLineChars="200"/>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开票信息发送至：longyancaigou@sina.com</w:t>
            </w:r>
          </w:p>
          <w:p w14:paraId="32960CB1">
            <w:pPr>
              <w:pStyle w:val="2"/>
              <w:spacing w:line="360" w:lineRule="auto"/>
              <w:ind w:firstLine="480" w:firstLineChars="200"/>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财务联系人：吴女士，联系方式：0597-2810096</w:t>
            </w:r>
          </w:p>
        </w:tc>
      </w:tr>
      <w:tr w14:paraId="71D8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69" w:type="dxa"/>
            <w:vAlign w:val="center"/>
          </w:tcPr>
          <w:p w14:paraId="722B6833">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w:t>
            </w:r>
          </w:p>
        </w:tc>
        <w:tc>
          <w:tcPr>
            <w:tcW w:w="8165" w:type="dxa"/>
            <w:vAlign w:val="top"/>
          </w:tcPr>
          <w:p w14:paraId="1CFFEA2E">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响应文件应由磋商投标人的法定代表人或者其授权代表签名并加盖公章，如由后者签名，应提供“法定代表人授权书”。</w:t>
            </w:r>
          </w:p>
        </w:tc>
      </w:tr>
      <w:tr w14:paraId="4234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69" w:type="dxa"/>
            <w:vAlign w:val="center"/>
          </w:tcPr>
          <w:p w14:paraId="539AF87B">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2</w:t>
            </w:r>
          </w:p>
        </w:tc>
        <w:tc>
          <w:tcPr>
            <w:tcW w:w="8165" w:type="dxa"/>
            <w:vAlign w:val="top"/>
          </w:tcPr>
          <w:p w14:paraId="0160669F">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磋商投标人须保证采购人在使用该服务或其任何一部分时不受到第三方关于侵犯专利权、商标权或工业设计权等知识产权的指控。如果任何第三方提出侵权指控与采购人无关，磋商投标人须与第三方交涉并承担可能发生的责任与一切费用。如采购人因此而遭致损失的，磋商投标人应赔偿该损失。</w:t>
            </w:r>
          </w:p>
        </w:tc>
      </w:tr>
      <w:tr w14:paraId="09C0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69" w:type="dxa"/>
            <w:vAlign w:val="center"/>
          </w:tcPr>
          <w:p w14:paraId="136E7BE2">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3</w:t>
            </w:r>
          </w:p>
        </w:tc>
        <w:tc>
          <w:tcPr>
            <w:tcW w:w="8165" w:type="dxa"/>
            <w:vAlign w:val="top"/>
          </w:tcPr>
          <w:p w14:paraId="3E87BB31">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未实质性响应竞争性磋商文件条款：</w:t>
            </w:r>
          </w:p>
          <w:p w14:paraId="6DC049C7">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（1）响应文件未按照本须知的规定进行密封、标记的；</w:t>
            </w:r>
          </w:p>
          <w:p w14:paraId="21CA363C">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（2）未按本须知的规定要求装订或响应文件，视为无效报价；</w:t>
            </w:r>
          </w:p>
          <w:p w14:paraId="70623B25">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未按规定由磋商投标人的法定代表人或其授权代表签字，或未加盖磋商投标人公章的；或签字人未经法定代表人有效授权委托的；或磋商投标人所有提供的相关资质证明文件过期，或发生发生变更未办理变更手续的；</w:t>
            </w:r>
          </w:p>
          <w:p w14:paraId="71BE226C">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（4）未按规定填写技术参数和商务偏离表的；</w:t>
            </w:r>
          </w:p>
          <w:p w14:paraId="49885DE4">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（5）未按规定提交磋商保证金的；</w:t>
            </w:r>
          </w:p>
          <w:p w14:paraId="11C35DAC">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（6）磋商响应有效期不满足竞争性磋商要求的；</w:t>
            </w:r>
          </w:p>
          <w:p w14:paraId="21C40DE1">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（7）磋商投标人提交的是可选择的报价；</w:t>
            </w:r>
          </w:p>
          <w:p w14:paraId="69B6A10A">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（8）磋商投标人未按规定对磋商响应进行报价及分项报价；</w:t>
            </w:r>
          </w:p>
          <w:p w14:paraId="76697487">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（9）一个磋商投标人不止投一个标；</w:t>
            </w:r>
          </w:p>
          <w:p w14:paraId="7C7349E0">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（10）响应文件组成不符合竞争性磋商文件要求的；</w:t>
            </w:r>
          </w:p>
          <w:p w14:paraId="370C7AA3">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（11）响应文件中提供虚假或失实资料的；</w:t>
            </w:r>
          </w:p>
          <w:p w14:paraId="394743E1">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（12）不符合竞争性磋商文件中规定的其它实质性条款；</w:t>
            </w:r>
          </w:p>
          <w:p w14:paraId="3289B7AC">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（13）报价超过预算价的；</w:t>
            </w:r>
          </w:p>
          <w:p w14:paraId="1748690E">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（14）未满足合格磋商投标人资格条件的；</w:t>
            </w:r>
          </w:p>
          <w:p w14:paraId="2CE8D43B">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（15）响应文件没有正本或响应文件份数不符合竞争性磋商文件规定的；</w:t>
            </w:r>
          </w:p>
          <w:p w14:paraId="72085F60">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（16）付款方式、不满足竞争性磋商要求的；</w:t>
            </w:r>
          </w:p>
          <w:p w14:paraId="74CCD55A">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（17）与本次磋商项目设计、编制技术规格和其它文件的公司或提供咨询服务的公司包括其附属机构有关联的；</w:t>
            </w:r>
          </w:p>
          <w:p w14:paraId="0147BD23">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（18）磋商投标人的报价明显低于其他报价，使得其磋商响应报价可能低于其个别成本的，有可能影响商品质量或不能诚信履约的，但不能合理说明原因或不能提供相关证明材料的；</w:t>
            </w:r>
          </w:p>
          <w:p w14:paraId="6514F3C9">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（19）磋商投标人存在串通报价行为的；</w:t>
            </w:r>
          </w:p>
          <w:p w14:paraId="49B06B69">
            <w:pPr>
              <w:keepNext w:val="0"/>
              <w:keepLines w:val="0"/>
              <w:pageBreakBefore w:val="0"/>
              <w:kinsoku/>
              <w:wordWrap/>
              <w:overflowPunct/>
              <w:topLinePunct w:val="0"/>
              <w:autoSpaceDE/>
              <w:autoSpaceDN/>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（20）出现附件1评标标准和方法中的无效报价规定。</w:t>
            </w:r>
          </w:p>
        </w:tc>
      </w:tr>
      <w:tr w14:paraId="52E8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969" w:type="dxa"/>
            <w:vAlign w:val="center"/>
          </w:tcPr>
          <w:p w14:paraId="75ED08D9">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4</w:t>
            </w:r>
          </w:p>
        </w:tc>
        <w:tc>
          <w:tcPr>
            <w:tcW w:w="8165" w:type="dxa"/>
            <w:vAlign w:val="top"/>
          </w:tcPr>
          <w:p w14:paraId="06817AC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关于串通报价处理:</w:t>
            </w:r>
          </w:p>
          <w:p w14:paraId="62DAAB01">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left"/>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磋商小组在磋商过程中发现磋商投标人存在下列情形之一的，可认定其有串通报价行为，并做出其响应文件无效的决定：</w:t>
            </w:r>
          </w:p>
          <w:p w14:paraId="26145DA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（1）不同磋商投标人的响应文件错、漏之处一致或雷同，且不能合理解释的；</w:t>
            </w:r>
          </w:p>
          <w:p w14:paraId="475E5CE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（2）不同的磋商投标人的法定代表人、委托代理人等由同一个单位缴纳社会保险的；</w:t>
            </w:r>
          </w:p>
          <w:p w14:paraId="1A33F16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（3）由同一人或分别由几个有利害关系人携带两个以上（含两个）磋商投标人的企业资料参与资格审查、领取磋商资料，或代表两个以上（含两个）磋商投标人参加磋商答疑会、磋商的；</w:t>
            </w:r>
          </w:p>
          <w:p w14:paraId="7BAF75F5">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（4）有关法律、法规或规章规定的其他串通报价行为。</w:t>
            </w:r>
          </w:p>
        </w:tc>
      </w:tr>
      <w:tr w14:paraId="6676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1" w:hRule="atLeast"/>
        </w:trPr>
        <w:tc>
          <w:tcPr>
            <w:tcW w:w="969" w:type="dxa"/>
            <w:vAlign w:val="center"/>
          </w:tcPr>
          <w:p w14:paraId="4485EA5D">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5</w:t>
            </w:r>
          </w:p>
        </w:tc>
        <w:tc>
          <w:tcPr>
            <w:tcW w:w="8165" w:type="dxa"/>
            <w:vAlign w:val="top"/>
          </w:tcPr>
          <w:p w14:paraId="217461BB">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项目终止条款:</w:t>
            </w:r>
          </w:p>
          <w:p w14:paraId="2700214A">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出现下列情形之一的，采购人或者</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应当终止竞争性磋商采购活动，发布项目终止公告并说明原因，重新开展采购活动：</w:t>
            </w:r>
          </w:p>
          <w:p w14:paraId="0870B736">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（一）因情况变化，不再符合规定的竞争性磋商采购方式适用情形的；</w:t>
            </w:r>
          </w:p>
          <w:p w14:paraId="7779A621">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（二）出现影响采购公正的违法、违规行为的；</w:t>
            </w:r>
          </w:p>
          <w:p w14:paraId="4933269D">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（三）除《政府采购竞争性磋商采购方式管理暂行办法》第二十一条第三款规定的情形外，在采购过程中符合要求的磋商投标人或者报价未超过采购预算的磋商投标人不足3家的。</w:t>
            </w:r>
          </w:p>
          <w:p w14:paraId="00E51734">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项目取消条款:</w:t>
            </w:r>
          </w:p>
          <w:p w14:paraId="2567D4E2">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在采购活动中因重大变故，采购任务取消的，采购人或者</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应当终止采购活动，通知所有参加采购活动的磋商投标人。</w:t>
            </w:r>
          </w:p>
        </w:tc>
      </w:tr>
      <w:tr w14:paraId="42BD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969" w:type="dxa"/>
            <w:vAlign w:val="center"/>
          </w:tcPr>
          <w:p w14:paraId="7F1DA965">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6</w:t>
            </w:r>
          </w:p>
        </w:tc>
        <w:tc>
          <w:tcPr>
            <w:tcW w:w="8165" w:type="dxa"/>
            <w:vAlign w:val="top"/>
          </w:tcPr>
          <w:p w14:paraId="5567F315">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重大偏差与细微偏差：</w:t>
            </w:r>
          </w:p>
          <w:p w14:paraId="1BCE7BF5">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以下为重大偏差与细微偏差的条款，请各磋商投标人认真审阅。</w:t>
            </w:r>
          </w:p>
          <w:p w14:paraId="5C969F0B">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（一）重大偏差：</w:t>
            </w:r>
          </w:p>
          <w:p w14:paraId="74FD3A36">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响应文件未按磋商文件要求加盖公章并由法定代表人或其书面授权的代理人签名的；</w:t>
            </w:r>
          </w:p>
          <w:p w14:paraId="1C322727">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以联合体形式参加报价的；</w:t>
            </w:r>
          </w:p>
          <w:p w14:paraId="036C84F5">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响应文件载明的磋商项目计划完成天数不满足磋商文件规定的；</w:t>
            </w:r>
          </w:p>
          <w:p w14:paraId="436FF137">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明显不符合磋商文件中规定的服务要求；</w:t>
            </w:r>
          </w:p>
          <w:p w14:paraId="70845184">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响应文件中附有采购人不能接受的条件；</w:t>
            </w:r>
          </w:p>
          <w:p w14:paraId="2CA3C1CE">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不符合磋商文件中规定的其他实质性条款；</w:t>
            </w:r>
          </w:p>
          <w:p w14:paraId="307E9A03">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注：磋商投标人的响应文件若有上述情形之一的，认定为未对磋商文件作出实质性响应，作无效响应文件处理。</w:t>
            </w:r>
          </w:p>
          <w:p w14:paraId="751BB4B0">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（二）、细微偏差：</w:t>
            </w:r>
            <w:r>
              <w:rPr>
                <w:rFonts w:hint="eastAsia" w:ascii="仿宋_GB2312" w:hAnsi="仿宋_GB2312" w:eastAsia="仿宋_GB2312" w:cs="仿宋_GB2312"/>
                <w:sz w:val="24"/>
                <w:szCs w:val="24"/>
                <w:highlight w:val="none"/>
              </w:rPr>
              <w:t>响应文件在实质上响应磋商文件要求，但在个别地方存在漏项或者提供了不完整的技术信息和数据等情况，并且补正这些遗漏或者不完整不会对其他磋商投标人造成不公平的结果。细微偏差不影响响应文件的有效性。</w:t>
            </w:r>
          </w:p>
          <w:p w14:paraId="629C16EA">
            <w:pPr>
              <w:keepNext w:val="0"/>
              <w:keepLines w:val="0"/>
              <w:pageBreakBefore w:val="0"/>
              <w:kinsoku/>
              <w:wordWrap/>
              <w:overflowPunct/>
              <w:topLinePunct w:val="0"/>
              <w:autoSpaceDE/>
              <w:autoSpaceDN/>
              <w:bidi w:val="0"/>
              <w:spacing w:line="360" w:lineRule="auto"/>
              <w:ind w:firstLine="475" w:firstLineChars="198"/>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磋商小组应当书面要求存在细微偏差的磋商投标人在评审结束前予以补正。补正的程序和方法按照磋商文件磋商投标人须知第15条规定执行。无法补正的，可在评审时对细微偏差作不利于该磋商投标人的认定。</w:t>
            </w:r>
          </w:p>
          <w:p w14:paraId="7ED7FAC0">
            <w:pPr>
              <w:keepNext w:val="0"/>
              <w:keepLines w:val="0"/>
              <w:pageBreakBefore w:val="0"/>
              <w:kinsoku/>
              <w:wordWrap/>
              <w:overflowPunct/>
              <w:topLinePunct w:val="0"/>
              <w:autoSpaceDE/>
              <w:autoSpaceDN/>
              <w:bidi w:val="0"/>
              <w:spacing w:line="360" w:lineRule="auto"/>
              <w:ind w:firstLine="477" w:firstLineChars="198"/>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磋商小组判定重大偏差、细微偏差是依据响应文件，而不寻求其他的外部证据。</w:t>
            </w:r>
          </w:p>
        </w:tc>
      </w:tr>
      <w:tr w14:paraId="5932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9" w:type="dxa"/>
            <w:vAlign w:val="center"/>
          </w:tcPr>
          <w:p w14:paraId="2CD1CFBD">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7</w:t>
            </w:r>
          </w:p>
        </w:tc>
        <w:tc>
          <w:tcPr>
            <w:tcW w:w="8165" w:type="dxa"/>
            <w:vAlign w:val="center"/>
          </w:tcPr>
          <w:p w14:paraId="5764B577">
            <w:pPr>
              <w:pStyle w:val="33"/>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color w:val="auto"/>
                <w:sz w:val="24"/>
                <w:szCs w:val="24"/>
                <w:highlight w:val="none"/>
              </w:rPr>
              <w:t>招标项</w:t>
            </w:r>
            <w:r>
              <w:rPr>
                <w:rFonts w:hint="eastAsia" w:ascii="仿宋_GB2312" w:hAnsi="仿宋_GB2312" w:eastAsia="仿宋_GB2312" w:cs="仿宋_GB2312"/>
                <w:b/>
                <w:sz w:val="24"/>
                <w:szCs w:val="24"/>
                <w:highlight w:val="none"/>
              </w:rPr>
              <w:t>目监督部门：</w:t>
            </w:r>
            <w:r>
              <w:rPr>
                <w:rFonts w:hint="eastAsia" w:ascii="仿宋_GB2312" w:hAnsi="仿宋_GB2312" w:eastAsia="仿宋_GB2312" w:cs="仿宋_GB2312"/>
                <w:b/>
                <w:sz w:val="24"/>
                <w:szCs w:val="24"/>
                <w:highlight w:val="none"/>
                <w:lang w:eastAsia="zh-CN"/>
              </w:rPr>
              <w:t>采购单位监管部门</w:t>
            </w:r>
          </w:p>
        </w:tc>
      </w:tr>
    </w:tbl>
    <w:p w14:paraId="3E26E4FE">
      <w:pPr>
        <w:spacing w:line="400" w:lineRule="exact"/>
        <w:rPr>
          <w:rFonts w:hint="eastAsia" w:ascii="仿宋_GB2312" w:hAnsi="仿宋_GB2312" w:eastAsia="仿宋_GB2312" w:cs="仿宋_GB2312"/>
          <w:b/>
          <w:sz w:val="24"/>
          <w:highlight w:val="none"/>
        </w:rPr>
      </w:pPr>
      <w:bookmarkStart w:id="14" w:name="_Toc948"/>
      <w:bookmarkStart w:id="15" w:name="_Toc419227502"/>
      <w:bookmarkStart w:id="16" w:name="_Toc371422261"/>
      <w:r>
        <w:rPr>
          <w:rFonts w:hint="eastAsia" w:ascii="仿宋_GB2312" w:hAnsi="仿宋_GB2312" w:eastAsia="仿宋_GB2312" w:cs="仿宋_GB2312"/>
          <w:b/>
          <w:sz w:val="24"/>
          <w:highlight w:val="none"/>
        </w:rPr>
        <w:t>附件1：</w:t>
      </w:r>
    </w:p>
    <w:p w14:paraId="22B12B14">
      <w:pPr>
        <w:spacing w:line="400" w:lineRule="exact"/>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评标标准和方法：本项目采用综合评分法,</w:t>
      </w:r>
      <w:r>
        <w:rPr>
          <w:rFonts w:hint="eastAsia" w:ascii="仿宋_GB2312" w:hAnsi="仿宋_GB2312" w:eastAsia="仿宋_GB2312" w:cs="仿宋_GB2312"/>
          <w:b/>
          <w:bCs/>
          <w:sz w:val="24"/>
          <w:highlight w:val="none"/>
        </w:rPr>
        <w:t>采购磋商项目实行</w:t>
      </w:r>
      <w:r>
        <w:rPr>
          <w:rFonts w:hint="eastAsia" w:ascii="仿宋_GB2312" w:hAnsi="仿宋_GB2312" w:eastAsia="仿宋_GB2312" w:cs="仿宋_GB2312"/>
          <w:b/>
          <w:sz w:val="24"/>
          <w:highlight w:val="none"/>
          <w:lang w:eastAsia="zh-CN"/>
        </w:rPr>
        <w:t>三</w:t>
      </w:r>
      <w:r>
        <w:rPr>
          <w:rFonts w:hint="eastAsia" w:ascii="仿宋_GB2312" w:hAnsi="仿宋_GB2312" w:eastAsia="仿宋_GB2312" w:cs="仿宋_GB2312"/>
          <w:b/>
          <w:sz w:val="24"/>
          <w:highlight w:val="none"/>
        </w:rPr>
        <w:t>阶段评标</w:t>
      </w:r>
      <w:r>
        <w:rPr>
          <w:rFonts w:hint="eastAsia" w:ascii="仿宋_GB2312" w:hAnsi="仿宋_GB2312" w:eastAsia="仿宋_GB2312" w:cs="仿宋_GB2312"/>
          <w:sz w:val="24"/>
          <w:highlight w:val="none"/>
        </w:rPr>
        <w:t>。</w:t>
      </w:r>
    </w:p>
    <w:p w14:paraId="21998D09">
      <w:pPr>
        <w:spacing w:line="400" w:lineRule="exact"/>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磋商小组将对通过资格及符合性检查的各合格磋商</w:t>
      </w:r>
      <w:r>
        <w:rPr>
          <w:rFonts w:hint="eastAsia" w:ascii="仿宋_GB2312" w:hAnsi="仿宋_GB2312" w:eastAsia="仿宋_GB2312" w:cs="仿宋_GB2312"/>
          <w:b/>
          <w:sz w:val="24"/>
          <w:highlight w:val="none"/>
          <w:lang w:eastAsia="zh-CN"/>
        </w:rPr>
        <w:t>投标供应商</w:t>
      </w:r>
      <w:r>
        <w:rPr>
          <w:rFonts w:hint="eastAsia" w:ascii="仿宋_GB2312" w:hAnsi="仿宋_GB2312" w:eastAsia="仿宋_GB2312" w:cs="仿宋_GB2312"/>
          <w:b/>
          <w:sz w:val="24"/>
          <w:highlight w:val="none"/>
        </w:rPr>
        <w:t>根据以下标准和方法进行评估。评分将按报价部分</w:t>
      </w:r>
      <w:r>
        <w:rPr>
          <w:rFonts w:hint="eastAsia" w:ascii="仿宋_GB2312" w:hAnsi="仿宋_GB2312" w:eastAsia="仿宋_GB2312" w:cs="仿宋_GB2312"/>
          <w:b/>
          <w:sz w:val="24"/>
          <w:highlight w:val="none"/>
          <w:lang w:eastAsia="zh-CN"/>
        </w:rPr>
        <w:t>、</w:t>
      </w:r>
      <w:r>
        <w:rPr>
          <w:rFonts w:hint="eastAsia" w:ascii="仿宋_GB2312" w:hAnsi="仿宋_GB2312" w:eastAsia="仿宋_GB2312" w:cs="仿宋_GB2312"/>
          <w:b/>
          <w:sz w:val="24"/>
          <w:highlight w:val="none"/>
        </w:rPr>
        <w:t>技术</w:t>
      </w:r>
      <w:r>
        <w:rPr>
          <w:rFonts w:hint="eastAsia" w:ascii="仿宋_GB2312" w:hAnsi="仿宋_GB2312" w:eastAsia="仿宋_GB2312" w:cs="仿宋_GB2312"/>
          <w:b/>
          <w:sz w:val="24"/>
          <w:highlight w:val="none"/>
          <w:lang w:eastAsia="zh-CN"/>
        </w:rPr>
        <w:t>部分、</w:t>
      </w:r>
      <w:r>
        <w:rPr>
          <w:rFonts w:hint="eastAsia" w:ascii="仿宋_GB2312" w:hAnsi="仿宋_GB2312" w:eastAsia="仿宋_GB2312" w:cs="仿宋_GB2312"/>
          <w:b/>
          <w:sz w:val="24"/>
          <w:highlight w:val="none"/>
        </w:rPr>
        <w:t>商务</w:t>
      </w:r>
      <w:r>
        <w:rPr>
          <w:rFonts w:hint="eastAsia" w:ascii="仿宋_GB2312" w:hAnsi="仿宋_GB2312" w:eastAsia="仿宋_GB2312" w:cs="仿宋_GB2312"/>
          <w:b/>
          <w:sz w:val="24"/>
          <w:highlight w:val="none"/>
          <w:lang w:eastAsia="zh-CN"/>
        </w:rPr>
        <w:t>部分</w:t>
      </w:r>
      <w:r>
        <w:rPr>
          <w:rFonts w:hint="eastAsia" w:ascii="仿宋_GB2312" w:hAnsi="仿宋_GB2312" w:eastAsia="仿宋_GB2312" w:cs="仿宋_GB2312"/>
          <w:b/>
          <w:sz w:val="24"/>
          <w:highlight w:val="none"/>
        </w:rPr>
        <w:t>分别进行，计算出各合格磋商</w:t>
      </w:r>
      <w:r>
        <w:rPr>
          <w:rFonts w:hint="eastAsia" w:ascii="仿宋_GB2312" w:hAnsi="仿宋_GB2312" w:eastAsia="仿宋_GB2312" w:cs="仿宋_GB2312"/>
          <w:b/>
          <w:sz w:val="24"/>
          <w:highlight w:val="none"/>
          <w:lang w:eastAsia="zh-CN"/>
        </w:rPr>
        <w:t>投标供应商</w:t>
      </w:r>
      <w:r>
        <w:rPr>
          <w:rFonts w:hint="eastAsia" w:ascii="仿宋_GB2312" w:hAnsi="仿宋_GB2312" w:eastAsia="仿宋_GB2312" w:cs="仿宋_GB2312"/>
          <w:b/>
          <w:sz w:val="24"/>
          <w:highlight w:val="none"/>
        </w:rPr>
        <w:t>的综合得分。磋商小组按最终评审得分由高到低顺序推荐1名成交候选人</w:t>
      </w:r>
      <w:r>
        <w:rPr>
          <w:rFonts w:hint="eastAsia" w:ascii="仿宋_GB2312" w:hAnsi="仿宋_GB2312" w:eastAsia="仿宋_GB2312" w:cs="仿宋_GB2312"/>
          <w:sz w:val="24"/>
          <w:highlight w:val="none"/>
        </w:rPr>
        <w:t>。若有相同的最高得分，则其中磋商响应总价低的磋商</w:t>
      </w:r>
      <w:r>
        <w:rPr>
          <w:rFonts w:hint="eastAsia" w:ascii="仿宋_GB2312" w:hAnsi="仿宋_GB2312" w:eastAsia="仿宋_GB2312" w:cs="仿宋_GB2312"/>
          <w:sz w:val="24"/>
          <w:highlight w:val="none"/>
          <w:lang w:eastAsia="zh-CN"/>
        </w:rPr>
        <w:t>投标供应商</w:t>
      </w:r>
      <w:r>
        <w:rPr>
          <w:rFonts w:hint="eastAsia" w:ascii="仿宋_GB2312" w:hAnsi="仿宋_GB2312" w:eastAsia="仿宋_GB2312" w:cs="仿宋_GB2312"/>
          <w:sz w:val="24"/>
          <w:highlight w:val="none"/>
        </w:rPr>
        <w:t>将被排序在前；若有相同的最高得分且磋商响应报价相同的，则按技术部分得分从高到低顺序进行排列，技术部分得分最高的磋商</w:t>
      </w:r>
      <w:r>
        <w:rPr>
          <w:rFonts w:hint="eastAsia" w:ascii="仿宋_GB2312" w:hAnsi="仿宋_GB2312" w:eastAsia="仿宋_GB2312" w:cs="仿宋_GB2312"/>
          <w:sz w:val="24"/>
          <w:highlight w:val="none"/>
          <w:lang w:eastAsia="zh-CN"/>
        </w:rPr>
        <w:t>投标供应商</w:t>
      </w:r>
      <w:r>
        <w:rPr>
          <w:rFonts w:hint="eastAsia" w:ascii="仿宋_GB2312" w:hAnsi="仿宋_GB2312" w:eastAsia="仿宋_GB2312" w:cs="仿宋_GB2312"/>
          <w:sz w:val="24"/>
          <w:highlight w:val="none"/>
        </w:rPr>
        <w:t>将被排序在前。若出现以上评审结果相同的情况时，评委会将以随机现场抽取的方式确定成交候选人。</w:t>
      </w:r>
    </w:p>
    <w:p w14:paraId="3EAEF3C8">
      <w:pPr>
        <w:snapToGrid w:val="0"/>
        <w:spacing w:line="40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本项目评分标准：综合评分法将按磋商响应报价部分、商务部分、技术部分三个部分分别进行评分，各部分评分分值分布如下：</w:t>
      </w:r>
    </w:p>
    <w:p w14:paraId="6D0B745A">
      <w:pPr>
        <w:adjustRightInd w:val="0"/>
        <w:snapToGrid w:val="0"/>
        <w:spacing w:line="400" w:lineRule="exact"/>
        <w:ind w:left="-2" w:leftChars="-1" w:right="342" w:rightChars="163"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A：报价部分评分               满分</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分</w:t>
      </w:r>
    </w:p>
    <w:p w14:paraId="14B770E3">
      <w:pPr>
        <w:adjustRightInd w:val="0"/>
        <w:snapToGrid w:val="0"/>
        <w:spacing w:line="400" w:lineRule="exact"/>
        <w:ind w:left="-2" w:leftChars="-1" w:right="342" w:rightChars="163"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B：技术部分评分               满分</w:t>
      </w:r>
      <w:r>
        <w:rPr>
          <w:rFonts w:hint="eastAsia" w:ascii="仿宋_GB2312" w:hAnsi="仿宋_GB2312" w:eastAsia="仿宋_GB2312" w:cs="仿宋_GB2312"/>
          <w:sz w:val="24"/>
          <w:highlight w:val="none"/>
          <w:lang w:val="en-US" w:eastAsia="zh-CN"/>
        </w:rPr>
        <w:t>71</w:t>
      </w:r>
      <w:r>
        <w:rPr>
          <w:rFonts w:hint="eastAsia" w:ascii="仿宋_GB2312" w:hAnsi="仿宋_GB2312" w:eastAsia="仿宋_GB2312" w:cs="仿宋_GB2312"/>
          <w:sz w:val="24"/>
          <w:highlight w:val="none"/>
        </w:rPr>
        <w:t>分</w:t>
      </w:r>
    </w:p>
    <w:p w14:paraId="7338CAA8">
      <w:pPr>
        <w:adjustRightInd w:val="0"/>
        <w:snapToGrid w:val="0"/>
        <w:spacing w:line="400" w:lineRule="exact"/>
        <w:ind w:left="-2" w:leftChars="-1" w:right="342" w:rightChars="163"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C：商务部分评分               满分</w:t>
      </w:r>
      <w:r>
        <w:rPr>
          <w:rFonts w:hint="eastAsia" w:ascii="仿宋_GB2312" w:hAnsi="仿宋_GB2312" w:eastAsia="仿宋_GB2312" w:cs="仿宋_GB2312"/>
          <w:sz w:val="24"/>
          <w:highlight w:val="none"/>
          <w:lang w:val="en-US" w:eastAsia="zh-CN"/>
        </w:rPr>
        <w:t>19</w:t>
      </w:r>
      <w:r>
        <w:rPr>
          <w:rFonts w:hint="eastAsia" w:ascii="仿宋_GB2312" w:hAnsi="仿宋_GB2312" w:eastAsia="仿宋_GB2312" w:cs="仿宋_GB2312"/>
          <w:sz w:val="24"/>
          <w:highlight w:val="none"/>
        </w:rPr>
        <w:t>分</w:t>
      </w:r>
    </w:p>
    <w:p w14:paraId="3BBE759C">
      <w:pPr>
        <w:snapToGrid w:val="0"/>
        <w:spacing w:line="4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综合评分法总得分=A+B+C</w:t>
      </w:r>
    </w:p>
    <w:p w14:paraId="4AD9814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具体评分细则如下：</w:t>
      </w:r>
    </w:p>
    <w:p w14:paraId="6DBA7B15">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highlight w:val="none"/>
        </w:rPr>
      </w:pPr>
      <w:r>
        <w:rPr>
          <w:rStyle w:val="24"/>
          <w:rFonts w:hint="eastAsia" w:ascii="仿宋_GB2312" w:hAnsi="仿宋_GB2312" w:eastAsia="仿宋_GB2312" w:cs="仿宋_GB2312"/>
          <w:kern w:val="0"/>
          <w:highlight w:val="none"/>
        </w:rPr>
        <w:t>（一）报价部分评分 </w:t>
      </w:r>
      <w:r>
        <w:rPr>
          <w:rStyle w:val="24"/>
          <w:rFonts w:hint="eastAsia" w:ascii="仿宋_GB2312" w:hAnsi="仿宋_GB2312" w:eastAsia="仿宋_GB2312" w:cs="仿宋_GB2312"/>
          <w:highlight w:val="none"/>
        </w:rPr>
        <w:t>满分</w:t>
      </w:r>
      <w:r>
        <w:rPr>
          <w:rStyle w:val="24"/>
          <w:rFonts w:hint="eastAsia" w:ascii="仿宋_GB2312" w:hAnsi="仿宋_GB2312" w:eastAsia="仿宋_GB2312" w:cs="仿宋_GB2312"/>
          <w:highlight w:val="none"/>
          <w:u w:val="single"/>
          <w:lang w:val="en-US" w:eastAsia="zh-CN"/>
        </w:rPr>
        <w:t>10</w:t>
      </w:r>
      <w:r>
        <w:rPr>
          <w:rStyle w:val="24"/>
          <w:rFonts w:hint="eastAsia" w:ascii="仿宋_GB2312" w:hAnsi="仿宋_GB2312" w:eastAsia="仿宋_GB2312" w:cs="仿宋_GB2312"/>
          <w:highlight w:val="none"/>
        </w:rPr>
        <w:t>分</w:t>
      </w:r>
      <w:r>
        <w:rPr>
          <w:rFonts w:hint="eastAsia" w:ascii="仿宋_GB2312" w:hAnsi="仿宋_GB2312" w:eastAsia="仿宋_GB2312" w:cs="仿宋_GB2312"/>
          <w:highlight w:val="none"/>
        </w:rPr>
        <w:t xml:space="preserve"> </w:t>
      </w:r>
    </w:p>
    <w:tbl>
      <w:tblPr>
        <w:tblStyle w:val="21"/>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278"/>
        <w:gridCol w:w="6997"/>
      </w:tblGrid>
      <w:tr w14:paraId="372B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1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F110A60">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评标</w:t>
            </w:r>
          </w:p>
          <w:p w14:paraId="113ED101">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w:t>
            </w:r>
          </w:p>
        </w:tc>
        <w:tc>
          <w:tcPr>
            <w:tcW w:w="677"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7B19212">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评标分值</w:t>
            </w:r>
          </w:p>
        </w:tc>
        <w:tc>
          <w:tcPr>
            <w:tcW w:w="370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ECF2E21">
            <w:pPr>
              <w:keepNext w:val="0"/>
              <w:keepLines w:val="0"/>
              <w:pageBreakBefore w:val="0"/>
              <w:kinsoku/>
              <w:wordWrap/>
              <w:overflowPunct/>
              <w:topLinePunct w:val="0"/>
              <w:autoSpaceDE/>
              <w:autoSpaceDN/>
              <w:bidi w:val="0"/>
              <w:adjustRightInd/>
              <w:spacing w:line="360" w:lineRule="auto"/>
              <w:ind w:firstLine="352" w:firstLineChars="147"/>
              <w:jc w:val="center"/>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评价方法</w:t>
            </w:r>
          </w:p>
        </w:tc>
      </w:tr>
      <w:tr w14:paraId="149C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612" w:type="pct"/>
            <w:tcBorders>
              <w:top w:val="single" w:color="auto" w:sz="4" w:space="0"/>
              <w:left w:val="single" w:color="auto" w:sz="4" w:space="0"/>
              <w:right w:val="single" w:color="auto" w:sz="4" w:space="0"/>
            </w:tcBorders>
            <w:tcMar>
              <w:left w:w="108" w:type="dxa"/>
              <w:right w:w="108" w:type="dxa"/>
            </w:tcMar>
            <w:vAlign w:val="center"/>
          </w:tcPr>
          <w:p w14:paraId="64720B80">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价格</w:t>
            </w:r>
          </w:p>
          <w:p w14:paraId="1B091653">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评分</w:t>
            </w:r>
          </w:p>
        </w:tc>
        <w:tc>
          <w:tcPr>
            <w:tcW w:w="677" w:type="pct"/>
            <w:tcBorders>
              <w:top w:val="single" w:color="auto" w:sz="4" w:space="0"/>
              <w:left w:val="single" w:color="auto" w:sz="4" w:space="0"/>
              <w:right w:val="single" w:color="auto" w:sz="4" w:space="0"/>
            </w:tcBorders>
            <w:tcMar>
              <w:left w:w="108" w:type="dxa"/>
              <w:right w:w="108" w:type="dxa"/>
            </w:tcMar>
            <w:vAlign w:val="center"/>
          </w:tcPr>
          <w:p w14:paraId="0CE4925E">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10.00</w:t>
            </w:r>
          </w:p>
        </w:tc>
        <w:tc>
          <w:tcPr>
            <w:tcW w:w="370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5990A53">
            <w:pPr>
              <w:pStyle w:val="8"/>
              <w:snapToGrid w:val="0"/>
              <w:spacing w:line="400" w:lineRule="exact"/>
              <w:ind w:firstLine="0"/>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仿宋_GB2312" w:hAnsi="仿宋_GB2312" w:eastAsia="仿宋_GB2312" w:cs="仿宋_GB2312"/>
                <w:sz w:val="24"/>
                <w:highlight w:val="none"/>
              </w:rPr>
              <w:t>Tn</w:t>
            </w:r>
            <w:r>
              <w:rPr>
                <w:rFonts w:hint="eastAsia" w:ascii="宋体" w:hAnsi="宋体" w:cs="宋体"/>
                <w:sz w:val="24"/>
                <w:szCs w:val="24"/>
                <w:highlight w:val="none"/>
              </w:rPr>
              <w:t>-</w:t>
            </w:r>
            <w:r>
              <w:rPr>
                <w:rFonts w:hint="eastAsia" w:ascii="仿宋_GB2312" w:hAnsi="仿宋_GB2312" w:eastAsia="仿宋_GB2312" w:cs="仿宋_GB2312"/>
                <w:sz w:val="24"/>
                <w:highlight w:val="none"/>
              </w:rPr>
              <w:t>T0</w:t>
            </w:r>
            <w:r>
              <w:rPr>
                <w:rFonts w:hint="eastAsia" w:ascii="宋体" w:hAnsi="宋体" w:cs="宋体"/>
                <w:sz w:val="24"/>
                <w:szCs w:val="24"/>
                <w:highlight w:val="none"/>
              </w:rPr>
              <w:t xml:space="preserve"> |</w:t>
            </w:r>
          </w:p>
          <w:p w14:paraId="30DBC1E8">
            <w:pPr>
              <w:pStyle w:val="54"/>
              <w:spacing w:before="0" w:after="0" w:line="400" w:lineRule="exact"/>
              <w:ind w:left="0" w:leftChars="0" w:firstLine="0" w:firstLineChars="0"/>
              <w:jc w:val="both"/>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A</w:t>
            </w:r>
            <w:r>
              <w:rPr>
                <w:rFonts w:hint="eastAsia" w:ascii="宋体" w:hAnsi="宋体" w:eastAsia="宋体" w:cs="宋体"/>
                <w:kern w:val="2"/>
                <w:sz w:val="24"/>
                <w:szCs w:val="24"/>
                <w:highlight w:val="none"/>
                <w:lang w:val="fr-FR"/>
              </w:rPr>
              <w:t>＝</w:t>
            </w:r>
            <w:r>
              <w:rPr>
                <w:rFonts w:hint="eastAsia" w:ascii="宋体" w:hAnsi="宋体" w:eastAsia="宋体" w:cs="宋体"/>
                <w:kern w:val="2"/>
                <w:sz w:val="24"/>
                <w:szCs w:val="24"/>
                <w:highlight w:val="none"/>
                <w:lang w:val="en-US" w:eastAsia="zh-CN"/>
              </w:rPr>
              <w:t>10</w:t>
            </w:r>
            <w:r>
              <w:rPr>
                <w:rFonts w:hint="eastAsia" w:ascii="宋体" w:hAnsi="宋体" w:eastAsia="宋体" w:cs="宋体"/>
                <w:kern w:val="2"/>
                <w:sz w:val="24"/>
                <w:szCs w:val="24"/>
                <w:highlight w:val="none"/>
                <w:lang w:val="fr-FR"/>
              </w:rPr>
              <w:t xml:space="preserve">－ ———— </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lang w:val="fr-FR"/>
              </w:rPr>
              <w:t>×</w:t>
            </w:r>
            <w:r>
              <w:rPr>
                <w:rFonts w:hint="eastAsia" w:ascii="宋体" w:hAnsi="宋体" w:eastAsia="宋体" w:cs="宋体"/>
                <w:kern w:val="2"/>
                <w:sz w:val="24"/>
                <w:szCs w:val="24"/>
                <w:highlight w:val="none"/>
                <w:lang w:val="en-US" w:eastAsia="zh-CN"/>
              </w:rPr>
              <w:t>10</w:t>
            </w:r>
          </w:p>
          <w:p w14:paraId="42A746FB">
            <w:pPr>
              <w:pStyle w:val="54"/>
              <w:spacing w:before="0" w:after="0" w:line="400" w:lineRule="exact"/>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lang w:val="fr-FR"/>
              </w:rPr>
              <w:t xml:space="preserve">        </w:t>
            </w:r>
            <w:r>
              <w:rPr>
                <w:rFonts w:hint="eastAsia" w:ascii="仿宋_GB2312" w:hAnsi="仿宋_GB2312" w:eastAsia="仿宋_GB2312" w:cs="仿宋_GB2312"/>
                <w:sz w:val="24"/>
                <w:highlight w:val="none"/>
              </w:rPr>
              <w:t>T0</w:t>
            </w:r>
          </w:p>
          <w:p w14:paraId="51D77C31">
            <w:pPr>
              <w:keepNext w:val="0"/>
              <w:keepLines w:val="0"/>
              <w:pageBreakBefore w:val="0"/>
              <w:kinsoku/>
              <w:wordWrap/>
              <w:overflowPunct/>
              <w:topLinePunct w:val="0"/>
              <w:autoSpaceDE/>
              <w:autoSpaceDN/>
              <w:bidi w:val="0"/>
              <w:adjustRightInd/>
              <w:spacing w:line="360" w:lineRule="auto"/>
              <w:ind w:firstLine="352" w:firstLineChars="147"/>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A：供应商的报价得分</w:t>
            </w:r>
          </w:p>
          <w:p w14:paraId="3B9302C4">
            <w:pPr>
              <w:keepNext w:val="0"/>
              <w:keepLines w:val="0"/>
              <w:pageBreakBefore w:val="0"/>
              <w:kinsoku/>
              <w:wordWrap/>
              <w:overflowPunct/>
              <w:topLinePunct w:val="0"/>
              <w:autoSpaceDE/>
              <w:autoSpaceDN/>
              <w:bidi w:val="0"/>
              <w:adjustRightInd/>
              <w:spacing w:line="360" w:lineRule="auto"/>
              <w:ind w:firstLine="352" w:firstLineChars="147"/>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Tn：供应商的评标价</w:t>
            </w:r>
          </w:p>
          <w:p w14:paraId="69D81AC0">
            <w:pPr>
              <w:keepNext w:val="0"/>
              <w:keepLines w:val="0"/>
              <w:pageBreakBefore w:val="0"/>
              <w:kinsoku/>
              <w:wordWrap/>
              <w:overflowPunct/>
              <w:topLinePunct w:val="0"/>
              <w:autoSpaceDE/>
              <w:autoSpaceDN/>
              <w:bidi w:val="0"/>
              <w:adjustRightInd/>
              <w:spacing w:line="360" w:lineRule="auto"/>
              <w:ind w:firstLine="352" w:firstLineChars="147"/>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T0：评标基准价，取所有有效磋商响应中各有效投标人投标报价的算术平均值</w:t>
            </w:r>
            <w:r>
              <w:rPr>
                <w:rFonts w:hint="eastAsia" w:ascii="仿宋_GB2312" w:hAnsi="仿宋_GB2312" w:eastAsia="仿宋_GB2312" w:cs="仿宋_GB2312"/>
                <w:sz w:val="24"/>
                <w:highlight w:val="none"/>
                <w:lang w:eastAsia="zh-CN"/>
              </w:rPr>
              <w:t>为</w:t>
            </w:r>
            <w:r>
              <w:rPr>
                <w:rFonts w:hint="eastAsia" w:ascii="仿宋_GB2312" w:hAnsi="仿宋_GB2312" w:eastAsia="仿宋_GB2312" w:cs="仿宋_GB2312"/>
                <w:sz w:val="24"/>
                <w:highlight w:val="none"/>
              </w:rPr>
              <w:t>磋商响应价为评标基准价，有效磋商响应指经评审响应磋商文件资格和技术/商务要求并低于采购人控制价的磋商响应*计算分数时四舍五入取小数点后两位。</w:t>
            </w:r>
          </w:p>
        </w:tc>
      </w:tr>
    </w:tbl>
    <w:p w14:paraId="548E674B">
      <w:pPr>
        <w:pStyle w:val="18"/>
        <w:keepNext w:val="0"/>
        <w:keepLines w:val="0"/>
        <w:pageBreakBefore w:val="0"/>
        <w:numPr>
          <w:ilvl w:val="0"/>
          <w:numId w:val="4"/>
        </w:numPr>
        <w:kinsoku/>
        <w:wordWrap/>
        <w:overflowPunct/>
        <w:topLinePunct w:val="0"/>
        <w:autoSpaceDE/>
        <w:autoSpaceDN/>
        <w:bidi w:val="0"/>
        <w:adjustRightInd/>
        <w:spacing w:before="0" w:beforeAutospacing="0" w:after="0" w:afterAutospacing="0" w:line="360" w:lineRule="auto"/>
        <w:textAlignment w:val="auto"/>
        <w:rPr>
          <w:rFonts w:hint="eastAsia"/>
          <w:highlight w:val="none"/>
        </w:rPr>
      </w:pPr>
      <w:r>
        <w:rPr>
          <w:rStyle w:val="24"/>
          <w:rFonts w:hint="eastAsia" w:ascii="仿宋_GB2312" w:hAnsi="仿宋_GB2312" w:eastAsia="仿宋_GB2312" w:cs="仿宋_GB2312"/>
          <w:highlight w:val="none"/>
        </w:rPr>
        <w:t>技术部分评分         满分</w:t>
      </w:r>
      <w:r>
        <w:rPr>
          <w:rStyle w:val="24"/>
          <w:rFonts w:hint="eastAsia" w:ascii="仿宋_GB2312" w:hAnsi="仿宋_GB2312" w:eastAsia="仿宋_GB2312" w:cs="仿宋_GB2312"/>
          <w:highlight w:val="none"/>
          <w:lang w:val="en-US" w:eastAsia="zh-CN"/>
        </w:rPr>
        <w:t>71</w:t>
      </w:r>
      <w:r>
        <w:rPr>
          <w:rStyle w:val="24"/>
          <w:rFonts w:hint="eastAsia" w:ascii="仿宋_GB2312" w:hAnsi="仿宋_GB2312" w:eastAsia="仿宋_GB2312" w:cs="仿宋_GB2312"/>
          <w:highlight w:val="none"/>
        </w:rPr>
        <w:t>分</w:t>
      </w:r>
      <w:r>
        <w:rPr>
          <w:rFonts w:hint="eastAsia" w:ascii="仿宋_GB2312" w:hAnsi="仿宋_GB2312" w:eastAsia="仿宋_GB2312" w:cs="仿宋_GB2312"/>
          <w:highlight w:val="none"/>
        </w:rPr>
        <w:t xml:space="preserve"> </w:t>
      </w:r>
    </w:p>
    <w:tbl>
      <w:tblPr>
        <w:tblStyle w:val="21"/>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19"/>
        <w:gridCol w:w="7004"/>
      </w:tblGrid>
      <w:tr w14:paraId="1ED6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1B424">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评分项</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E6C8F">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评标</w:t>
            </w:r>
            <w:r>
              <w:rPr>
                <w:rFonts w:hint="eastAsia" w:ascii="仿宋_GB2312" w:hAnsi="仿宋_GB2312" w:eastAsia="仿宋_GB2312" w:cs="仿宋_GB2312"/>
                <w:sz w:val="24"/>
                <w:szCs w:val="24"/>
                <w:highlight w:val="none"/>
                <w:lang w:val="en-US" w:eastAsia="zh-CN"/>
              </w:rPr>
              <w:t>分值</w:t>
            </w:r>
          </w:p>
        </w:tc>
        <w:tc>
          <w:tcPr>
            <w:tcW w:w="7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A84E1">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评标方法描述</w:t>
            </w:r>
          </w:p>
        </w:tc>
      </w:tr>
      <w:tr w14:paraId="6528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1" w:hRule="atLeast"/>
          <w:jc w:val="center"/>
        </w:trPr>
        <w:tc>
          <w:tcPr>
            <w:tcW w:w="1260" w:type="dxa"/>
            <w:tcBorders>
              <w:top w:val="nil"/>
              <w:left w:val="single" w:color="000000" w:sz="8" w:space="0"/>
              <w:bottom w:val="single" w:color="000000" w:sz="8" w:space="0"/>
              <w:right w:val="single" w:color="000000" w:sz="8" w:space="0"/>
            </w:tcBorders>
            <w:shd w:val="clear" w:color="auto" w:fill="auto"/>
            <w:vAlign w:val="center"/>
          </w:tcPr>
          <w:p w14:paraId="5A091197">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技术和服务响应情况</w:t>
            </w:r>
          </w:p>
        </w:tc>
        <w:tc>
          <w:tcPr>
            <w:tcW w:w="1219" w:type="dxa"/>
            <w:tcBorders>
              <w:top w:val="nil"/>
              <w:left w:val="single" w:color="000000" w:sz="8" w:space="0"/>
              <w:bottom w:val="single" w:color="000000" w:sz="8" w:space="0"/>
              <w:right w:val="single" w:color="000000" w:sz="8" w:space="0"/>
            </w:tcBorders>
            <w:shd w:val="clear" w:color="auto" w:fill="auto"/>
            <w:vAlign w:val="center"/>
          </w:tcPr>
          <w:p w14:paraId="008097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44</w:t>
            </w:r>
          </w:p>
        </w:tc>
        <w:tc>
          <w:tcPr>
            <w:tcW w:w="7004" w:type="dxa"/>
            <w:tcBorders>
              <w:top w:val="nil"/>
              <w:left w:val="single" w:color="000000" w:sz="8" w:space="0"/>
              <w:bottom w:val="single" w:color="000000" w:sz="8" w:space="0"/>
              <w:right w:val="single" w:color="000000" w:sz="8" w:space="0"/>
            </w:tcBorders>
            <w:shd w:val="clear" w:color="auto" w:fill="auto"/>
            <w:vAlign w:val="center"/>
          </w:tcPr>
          <w:p w14:paraId="5D15043E">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根据供应商对 “招标内容及要求”中的各项要求响应情况进行评分。其中： 1、标“▲”条款（共16项）为重要技术要求项，负偏离一项扣2分； 3、标“△”条款（共12项）为一般技术要求项，负偏离一项扣1分； 4、各技术要求项正偏离，不加分。 本项满分44分。 注：要求提供相关证明材料的，供应商应按要求提供，若未按要求提供或响应内容与证明材料不一致的，将视为负偏离。</w:t>
            </w:r>
          </w:p>
        </w:tc>
      </w:tr>
      <w:tr w14:paraId="6C49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CD2AB">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园区智慧党建系统</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22AA1">
            <w:pPr>
              <w:keepNext w:val="0"/>
              <w:keepLines w:val="0"/>
              <w:widowControl/>
              <w:suppressLineNumbers w:val="0"/>
              <w:ind w:firstLine="480" w:firstLineChars="20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7004" w:type="dxa"/>
            <w:tcBorders>
              <w:top w:val="single" w:color="000000" w:sz="8" w:space="0"/>
              <w:left w:val="single" w:color="000000" w:sz="8" w:space="0"/>
              <w:bottom w:val="single" w:color="000000" w:sz="8" w:space="0"/>
              <w:right w:val="single" w:color="000000" w:sz="8" w:space="0"/>
            </w:tcBorders>
            <w:shd w:val="clear" w:color="auto" w:fill="auto"/>
            <w:vAlign w:val="top"/>
          </w:tcPr>
          <w:p w14:paraId="66C61D92">
            <w:pPr>
              <w:keepNext w:val="0"/>
              <w:keepLines w:val="0"/>
              <w:widowControl/>
              <w:suppressLineNumbers w:val="0"/>
              <w:ind w:left="0" w:leftChars="0" w:firstLine="0" w:firstLineChars="0"/>
              <w:jc w:val="both"/>
              <w:textAlignment w:val="top"/>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（1）投标人针对本项目提供园区智慧党建系统方案的得1分；（2）根据方案进行对比打分： ①方案内容分析深入透彻，合理切实有效，无明显错误的加2分；②存在细微偏差的加1分。备注：未提供或未按要求提供方案的不得分。</w:t>
            </w:r>
          </w:p>
        </w:tc>
      </w:tr>
      <w:tr w14:paraId="2528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9D522">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园区智慧党建小程序</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15031">
            <w:pPr>
              <w:keepNext w:val="0"/>
              <w:keepLines w:val="0"/>
              <w:widowControl/>
              <w:suppressLineNumbers w:val="0"/>
              <w:ind w:firstLine="480" w:firstLineChars="20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7004" w:type="dxa"/>
            <w:tcBorders>
              <w:top w:val="single" w:color="000000" w:sz="8" w:space="0"/>
              <w:left w:val="single" w:color="000000" w:sz="8" w:space="0"/>
              <w:bottom w:val="single" w:color="000000" w:sz="8" w:space="0"/>
              <w:right w:val="single" w:color="000000" w:sz="8" w:space="0"/>
            </w:tcBorders>
            <w:shd w:val="clear" w:color="auto" w:fill="auto"/>
            <w:vAlign w:val="top"/>
          </w:tcPr>
          <w:p w14:paraId="04A6110F">
            <w:pPr>
              <w:keepNext w:val="0"/>
              <w:keepLines w:val="0"/>
              <w:widowControl/>
              <w:suppressLineNumbers w:val="0"/>
              <w:ind w:left="0" w:leftChars="0" w:firstLine="0" w:firstLineChars="0"/>
              <w:jc w:val="both"/>
              <w:textAlignment w:val="top"/>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（1）投标人针对本项目提供园区智慧党建小程序方案的得1分；（2）根据方案进行对比打分： ①方案内容分析深入透彻，合理切实有效，无明显错误的加2分；②存在细微偏差的加1分。备注：未提供或未按要求提供方案的不得分。</w:t>
            </w:r>
          </w:p>
        </w:tc>
      </w:tr>
      <w:tr w14:paraId="060E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0D581">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园区企业服务系统小程序</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11642">
            <w:pPr>
              <w:keepNext w:val="0"/>
              <w:keepLines w:val="0"/>
              <w:widowControl/>
              <w:suppressLineNumbers w:val="0"/>
              <w:ind w:firstLine="480" w:firstLineChars="20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7004" w:type="dxa"/>
            <w:tcBorders>
              <w:top w:val="single" w:color="000000" w:sz="8" w:space="0"/>
              <w:left w:val="single" w:color="000000" w:sz="8" w:space="0"/>
              <w:bottom w:val="single" w:color="000000" w:sz="8" w:space="0"/>
              <w:right w:val="single" w:color="000000" w:sz="8" w:space="0"/>
            </w:tcBorders>
            <w:shd w:val="clear" w:color="auto" w:fill="auto"/>
            <w:vAlign w:val="top"/>
          </w:tcPr>
          <w:p w14:paraId="5F7D48BC">
            <w:pPr>
              <w:keepNext w:val="0"/>
              <w:keepLines w:val="0"/>
              <w:widowControl/>
              <w:suppressLineNumbers w:val="0"/>
              <w:ind w:left="0" w:leftChars="0" w:firstLine="0" w:firstLineChars="0"/>
              <w:jc w:val="both"/>
              <w:textAlignment w:val="top"/>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（1）投标人针对本项目提供园区企业服务系统小程序方案的得1分；（2）根据方案进行对比打分： ①方案内容分析深入透彻，合理切实有效，无明显错误的加2分；②存在细微偏差的加1分。备注：未提供或未按要求提供方案的不得分。</w:t>
            </w:r>
          </w:p>
        </w:tc>
      </w:tr>
      <w:tr w14:paraId="6CE6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E655D">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系统性能要求</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D9FB7">
            <w:pPr>
              <w:keepNext w:val="0"/>
              <w:keepLines w:val="0"/>
              <w:widowControl/>
              <w:suppressLineNumbers w:val="0"/>
              <w:ind w:firstLine="480" w:firstLineChars="20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7004" w:type="dxa"/>
            <w:tcBorders>
              <w:top w:val="single" w:color="000000" w:sz="8" w:space="0"/>
              <w:left w:val="single" w:color="000000" w:sz="8" w:space="0"/>
              <w:bottom w:val="single" w:color="000000" w:sz="8" w:space="0"/>
              <w:right w:val="single" w:color="000000" w:sz="8" w:space="0"/>
            </w:tcBorders>
            <w:shd w:val="clear" w:color="auto" w:fill="auto"/>
            <w:vAlign w:val="top"/>
          </w:tcPr>
          <w:p w14:paraId="2427F95B">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（1）投标人针对本项目提供系统性能方案的得1分；（2）根据方案进行对比打分： ①方案内容分析深入透彻，合理切实有效，无明显错误的加2分；②存在细微偏差的加1分。备注：未提供或未按要求提供方案的不得分。</w:t>
            </w:r>
          </w:p>
        </w:tc>
      </w:tr>
      <w:tr w14:paraId="78E0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EC656">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项目实施</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1F53B">
            <w:pPr>
              <w:keepNext w:val="0"/>
              <w:keepLines w:val="0"/>
              <w:widowControl/>
              <w:suppressLineNumbers w:val="0"/>
              <w:ind w:firstLine="480" w:firstLineChars="20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7004" w:type="dxa"/>
            <w:tcBorders>
              <w:top w:val="single" w:color="000000" w:sz="8" w:space="0"/>
              <w:left w:val="single" w:color="000000" w:sz="8" w:space="0"/>
              <w:bottom w:val="single" w:color="000000" w:sz="8" w:space="0"/>
              <w:right w:val="single" w:color="000000" w:sz="8" w:space="0"/>
            </w:tcBorders>
            <w:shd w:val="clear" w:color="auto" w:fill="auto"/>
            <w:vAlign w:val="top"/>
          </w:tcPr>
          <w:p w14:paraId="7C09FDDB">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（1）投标人针对本项目提供园区智慧党建系统方案的得1分；（2）根据方案进行对比打分： ①方案内容分析深入透彻，合理切实有效，无明显错误的加2分；②存在细微偏差的加1分。备注：未提供或未按要求提供方案的不得分。</w:t>
            </w:r>
          </w:p>
        </w:tc>
      </w:tr>
      <w:tr w14:paraId="4EB4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6B7B8">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运维服务</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8F5AE">
            <w:pPr>
              <w:keepNext w:val="0"/>
              <w:keepLines w:val="0"/>
              <w:widowControl/>
              <w:suppressLineNumbers w:val="0"/>
              <w:ind w:firstLine="480" w:firstLineChars="20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7004" w:type="dxa"/>
            <w:tcBorders>
              <w:top w:val="single" w:color="000000" w:sz="8" w:space="0"/>
              <w:left w:val="single" w:color="000000" w:sz="8" w:space="0"/>
              <w:bottom w:val="single" w:color="000000" w:sz="8" w:space="0"/>
              <w:right w:val="single" w:color="000000" w:sz="8" w:space="0"/>
            </w:tcBorders>
            <w:shd w:val="clear" w:color="auto" w:fill="auto"/>
            <w:vAlign w:val="top"/>
          </w:tcPr>
          <w:p w14:paraId="14572AD8">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（1）投标人针对本项目提供项目运维服务方案的得1分；（2）根据方案进行对比打分： ①方案内容分析深入透彻，合理切实有效，无明显错误的加2分；②存在细微偏差的加1分。备注：未提供或未按要求提供方案的不得分。</w:t>
            </w:r>
          </w:p>
        </w:tc>
      </w:tr>
      <w:tr w14:paraId="02A7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0B6E1">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安全管理</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CB46D">
            <w:pPr>
              <w:keepNext w:val="0"/>
              <w:keepLines w:val="0"/>
              <w:widowControl/>
              <w:suppressLineNumbers w:val="0"/>
              <w:ind w:firstLine="480" w:firstLineChars="20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7004" w:type="dxa"/>
            <w:tcBorders>
              <w:top w:val="single" w:color="000000" w:sz="8" w:space="0"/>
              <w:left w:val="single" w:color="000000" w:sz="8" w:space="0"/>
              <w:bottom w:val="single" w:color="auto" w:sz="4" w:space="0"/>
              <w:right w:val="single" w:color="000000" w:sz="8" w:space="0"/>
            </w:tcBorders>
            <w:shd w:val="clear" w:color="auto" w:fill="auto"/>
            <w:vAlign w:val="top"/>
          </w:tcPr>
          <w:p w14:paraId="46B66203">
            <w:pPr>
              <w:keepNext w:val="0"/>
              <w:keepLines w:val="0"/>
              <w:widowControl/>
              <w:suppressLineNumbers w:val="0"/>
              <w:ind w:left="0" w:leftChars="0" w:firstLine="0" w:firstLineChars="0"/>
              <w:jc w:val="both"/>
              <w:textAlignment w:val="top"/>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（1）投标人针对本项目提供项目安全管理方案的得1分；（2）根据方案进行对比打分： ①方案内容分析深入透彻，合理切实有效，无明显错误的加2分；②存在细微偏差的加1分。备注：未提供或未按要求提供方案的不得分。</w:t>
            </w:r>
          </w:p>
        </w:tc>
      </w:tr>
      <w:tr w14:paraId="7874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1260" w:type="dxa"/>
            <w:tcBorders>
              <w:top w:val="nil"/>
              <w:left w:val="single" w:color="000000" w:sz="8" w:space="0"/>
              <w:bottom w:val="single" w:color="000000" w:sz="8" w:space="0"/>
              <w:right w:val="single" w:color="000000" w:sz="8" w:space="0"/>
            </w:tcBorders>
            <w:shd w:val="clear" w:color="auto" w:fill="auto"/>
            <w:vAlign w:val="center"/>
          </w:tcPr>
          <w:p w14:paraId="2442FEC9">
            <w:pPr>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演示1：</w:t>
            </w:r>
          </w:p>
        </w:tc>
        <w:tc>
          <w:tcPr>
            <w:tcW w:w="1219" w:type="dxa"/>
            <w:tcBorders>
              <w:top w:val="nil"/>
              <w:left w:val="single" w:color="000000" w:sz="8" w:space="0"/>
              <w:bottom w:val="single" w:color="000000" w:sz="8" w:space="0"/>
              <w:right w:val="single" w:color="auto" w:sz="4" w:space="0"/>
            </w:tcBorders>
            <w:shd w:val="clear" w:color="auto" w:fill="auto"/>
            <w:vAlign w:val="center"/>
          </w:tcPr>
          <w:p w14:paraId="1A7B5C6D">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14:paraId="0E7B9351">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根据投标人对智慧党建系统任务督办的演示情况，由评标小组进行评议并打分：每完整成功演示一项内容的得1分，完整成功演示以下全部内容的得3分；不能成功演示或未提供演示的，本项不得分。</w:t>
            </w:r>
          </w:p>
          <w:p w14:paraId="02E3BDF6">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（1）投标人需演示任务督办流程，包含任务发布、任务分配、任务处理、任务评价等功能；</w:t>
            </w:r>
          </w:p>
          <w:p w14:paraId="7ED7FFCD">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（2）投标人需演示包含后台管理端及移动端的任务分配流程：支持分配给指定人员；指定人员可通过移动端登录后查看任务；</w:t>
            </w:r>
          </w:p>
          <w:p w14:paraId="65B72C3E">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（3）投标人需演示移动端任务办理：包含查看待办任务、已办任务等功能，其中待办任务支持选择完成进度、完成情况、处置时间并提交处理。</w:t>
            </w:r>
          </w:p>
        </w:tc>
      </w:tr>
      <w:tr w14:paraId="435C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1260" w:type="dxa"/>
            <w:tcBorders>
              <w:top w:val="nil"/>
              <w:left w:val="single" w:color="000000" w:sz="8" w:space="0"/>
              <w:bottom w:val="single" w:color="000000" w:sz="8" w:space="0"/>
              <w:right w:val="single" w:color="000000" w:sz="8" w:space="0"/>
            </w:tcBorders>
            <w:shd w:val="clear" w:color="auto" w:fill="auto"/>
            <w:vAlign w:val="center"/>
          </w:tcPr>
          <w:p w14:paraId="59A6DD00">
            <w:pPr>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演示2：</w:t>
            </w:r>
          </w:p>
        </w:tc>
        <w:tc>
          <w:tcPr>
            <w:tcW w:w="1219" w:type="dxa"/>
            <w:tcBorders>
              <w:top w:val="nil"/>
              <w:left w:val="single" w:color="000000" w:sz="8" w:space="0"/>
              <w:bottom w:val="single" w:color="000000" w:sz="8" w:space="0"/>
              <w:right w:val="single" w:color="auto" w:sz="4" w:space="0"/>
            </w:tcBorders>
            <w:shd w:val="clear" w:color="auto" w:fill="auto"/>
            <w:vAlign w:val="center"/>
          </w:tcPr>
          <w:p w14:paraId="4945FFE0">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004" w:type="dxa"/>
            <w:tcBorders>
              <w:top w:val="single" w:color="auto" w:sz="4" w:space="0"/>
              <w:left w:val="single" w:color="auto" w:sz="4" w:space="0"/>
              <w:bottom w:val="single" w:color="auto" w:sz="4" w:space="0"/>
              <w:right w:val="single" w:color="auto" w:sz="4" w:space="0"/>
            </w:tcBorders>
            <w:shd w:val="clear" w:color="auto" w:fill="auto"/>
            <w:vAlign w:val="center"/>
          </w:tcPr>
          <w:p w14:paraId="4CE07F7E">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根据投标人对随手拍的演示情况，由评标小组进行评议并打分：每完整成功演示一项内容的得1分，完整成功演示以下全部内容的得3分；不能成功演示或未提供演示的，本项不得分。</w:t>
            </w:r>
          </w:p>
          <w:p w14:paraId="18F65689">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（1）投标人需演示随手拍的上传功能：包含标题、内容、上传类型（照片、视频、照片+视频；当选择照片+视频时，会分别展示图片上传、视频上传）、是否展示等；</w:t>
            </w:r>
          </w:p>
          <w:p w14:paraId="0DFB0FA6">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（2）投标人需演示随手拍的评论功能：支持对上传内容进行评论、支持对现有的评论进行回复；</w:t>
            </w:r>
          </w:p>
          <w:p w14:paraId="1E4AE1B3">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（3）投标人需演示随手拍的评论审核功能：支持对评论内容进行审核，并查看评论内容的审核状态，是否可见；</w:t>
            </w:r>
          </w:p>
        </w:tc>
      </w:tr>
    </w:tbl>
    <w:p w14:paraId="620A6F44">
      <w:pPr>
        <w:pStyle w:val="18"/>
        <w:keepNext w:val="0"/>
        <w:keepLines w:val="0"/>
        <w:pageBreakBefore w:val="0"/>
        <w:numPr>
          <w:ilvl w:val="0"/>
          <w:numId w:val="4"/>
        </w:numPr>
        <w:kinsoku/>
        <w:wordWrap/>
        <w:overflowPunct/>
        <w:topLinePunct w:val="0"/>
        <w:autoSpaceDE/>
        <w:autoSpaceDN/>
        <w:bidi w:val="0"/>
        <w:adjustRightInd/>
        <w:spacing w:before="0" w:beforeAutospacing="0" w:after="0" w:afterAutospacing="0" w:line="360" w:lineRule="auto"/>
        <w:textAlignment w:val="auto"/>
        <w:rPr>
          <w:rStyle w:val="24"/>
          <w:rFonts w:hint="eastAsia" w:ascii="仿宋_GB2312" w:hAnsi="仿宋_GB2312" w:eastAsia="仿宋_GB2312" w:cs="仿宋_GB2312"/>
          <w:highlight w:val="none"/>
        </w:rPr>
      </w:pPr>
      <w:r>
        <w:rPr>
          <w:rStyle w:val="24"/>
          <w:rFonts w:hint="eastAsia" w:ascii="仿宋_GB2312" w:hAnsi="仿宋_GB2312" w:eastAsia="仿宋_GB2312" w:cs="仿宋_GB2312"/>
          <w:highlight w:val="none"/>
        </w:rPr>
        <w:t>商务部分评分       满分</w:t>
      </w:r>
      <w:r>
        <w:rPr>
          <w:rStyle w:val="24"/>
          <w:rFonts w:hint="eastAsia" w:ascii="仿宋_GB2312" w:hAnsi="仿宋_GB2312" w:eastAsia="仿宋_GB2312" w:cs="仿宋_GB2312"/>
          <w:highlight w:val="none"/>
          <w:lang w:val="en-US" w:eastAsia="zh-CN"/>
        </w:rPr>
        <w:t>19</w:t>
      </w:r>
      <w:r>
        <w:rPr>
          <w:rStyle w:val="24"/>
          <w:rFonts w:hint="eastAsia" w:ascii="仿宋_GB2312" w:hAnsi="仿宋_GB2312" w:eastAsia="仿宋_GB2312" w:cs="仿宋_GB2312"/>
          <w:highlight w:val="none"/>
        </w:rPr>
        <w:t>分</w:t>
      </w:r>
    </w:p>
    <w:tbl>
      <w:tblPr>
        <w:tblStyle w:val="21"/>
        <w:tblW w:w="90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972"/>
        <w:gridCol w:w="6984"/>
      </w:tblGrid>
      <w:tr w14:paraId="258E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609F1">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评分项</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F5555">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分值</w:t>
            </w:r>
          </w:p>
        </w:tc>
        <w:tc>
          <w:tcPr>
            <w:tcW w:w="6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25D86">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评标方法描述</w:t>
            </w:r>
          </w:p>
        </w:tc>
      </w:tr>
      <w:tr w14:paraId="66CE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52C7597">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供应商实力1</w:t>
            </w:r>
          </w:p>
        </w:tc>
        <w:tc>
          <w:tcPr>
            <w:tcW w:w="972" w:type="dxa"/>
            <w:tcBorders>
              <w:top w:val="nil"/>
              <w:left w:val="single" w:color="000000" w:sz="8" w:space="0"/>
              <w:bottom w:val="single" w:color="000000" w:sz="8" w:space="0"/>
              <w:right w:val="single" w:color="000000" w:sz="8" w:space="0"/>
            </w:tcBorders>
            <w:shd w:val="clear" w:color="auto" w:fill="auto"/>
            <w:vAlign w:val="center"/>
          </w:tcPr>
          <w:p w14:paraId="5A585E2A">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3</w:t>
            </w:r>
          </w:p>
        </w:tc>
        <w:tc>
          <w:tcPr>
            <w:tcW w:w="6984" w:type="dxa"/>
            <w:tcBorders>
              <w:top w:val="nil"/>
              <w:left w:val="single" w:color="000000" w:sz="8" w:space="0"/>
              <w:bottom w:val="single" w:color="000000" w:sz="8" w:space="0"/>
              <w:right w:val="single" w:color="000000" w:sz="8" w:space="0"/>
            </w:tcBorders>
            <w:shd w:val="clear" w:color="auto" w:fill="auto"/>
            <w:vAlign w:val="center"/>
          </w:tcPr>
          <w:p w14:paraId="1154E48C">
            <w:pPr>
              <w:keepNext w:val="0"/>
              <w:keepLines w:val="0"/>
              <w:pageBreakBefore w:val="0"/>
              <w:kinsoku/>
              <w:wordWrap/>
              <w:overflowPunct/>
              <w:topLinePunct w:val="0"/>
              <w:autoSpaceDE/>
              <w:autoSpaceDN/>
              <w:bidi w:val="0"/>
              <w:adjustRightInd/>
              <w:spacing w:line="360" w:lineRule="auto"/>
              <w:ind w:left="0" w:leftChars="0" w:firstLine="0" w:firstLineChars="0"/>
              <w:jc w:val="left"/>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供应商同时具有“软件企业认证”证书和“高新技术企业证书”的得</w:t>
            </w:r>
            <w:r>
              <w:rPr>
                <w:rFonts w:hint="eastAsia" w:ascii="仿宋_GB2312" w:hAnsi="仿宋_GB2312" w:eastAsia="仿宋_GB2312" w:cs="仿宋_GB2312"/>
                <w:sz w:val="24"/>
                <w:highlight w:val="none"/>
                <w:lang w:val="en-US" w:eastAsia="zh-CN"/>
              </w:rPr>
              <w:t>3</w:t>
            </w:r>
            <w:r>
              <w:rPr>
                <w:rFonts w:hint="default" w:ascii="仿宋_GB2312" w:hAnsi="仿宋_GB2312" w:eastAsia="仿宋_GB2312" w:cs="仿宋_GB2312"/>
                <w:sz w:val="24"/>
                <w:highlight w:val="none"/>
                <w:lang w:val="en-US" w:eastAsia="zh-CN"/>
              </w:rPr>
              <w:t>分，须提供有效的证明材料复印件，否则不得分。</w:t>
            </w:r>
          </w:p>
        </w:tc>
      </w:tr>
      <w:tr w14:paraId="279C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4263C05">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供应商实力2</w:t>
            </w:r>
          </w:p>
        </w:tc>
        <w:tc>
          <w:tcPr>
            <w:tcW w:w="972" w:type="dxa"/>
            <w:tcBorders>
              <w:top w:val="nil"/>
              <w:left w:val="single" w:color="000000" w:sz="8" w:space="0"/>
              <w:bottom w:val="single" w:color="000000" w:sz="8" w:space="0"/>
              <w:right w:val="single" w:color="000000" w:sz="8" w:space="0"/>
            </w:tcBorders>
            <w:shd w:val="clear" w:color="auto" w:fill="auto"/>
            <w:vAlign w:val="center"/>
          </w:tcPr>
          <w:p w14:paraId="6959F3F1">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3</w:t>
            </w:r>
          </w:p>
        </w:tc>
        <w:tc>
          <w:tcPr>
            <w:tcW w:w="6984" w:type="dxa"/>
            <w:tcBorders>
              <w:top w:val="nil"/>
              <w:left w:val="single" w:color="000000" w:sz="8" w:space="0"/>
              <w:bottom w:val="single" w:color="000000" w:sz="8" w:space="0"/>
              <w:right w:val="single" w:color="000000" w:sz="8" w:space="0"/>
            </w:tcBorders>
            <w:shd w:val="clear" w:color="auto" w:fill="auto"/>
            <w:vAlign w:val="center"/>
          </w:tcPr>
          <w:p w14:paraId="69F99A42">
            <w:pPr>
              <w:keepNext w:val="0"/>
              <w:keepLines w:val="0"/>
              <w:pageBreakBefore w:val="0"/>
              <w:kinsoku/>
              <w:wordWrap/>
              <w:overflowPunct/>
              <w:topLinePunct w:val="0"/>
              <w:autoSpaceDE/>
              <w:autoSpaceDN/>
              <w:bidi w:val="0"/>
              <w:adjustRightInd/>
              <w:spacing w:line="360" w:lineRule="auto"/>
              <w:ind w:left="0" w:leftChars="0" w:firstLine="0" w:firstLineChars="0"/>
              <w:jc w:val="left"/>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供应商同时具有“业务连续性管理体系认证”证书和“隐私信息管理体系”认证证书的得</w:t>
            </w:r>
            <w:r>
              <w:rPr>
                <w:rFonts w:hint="eastAsia" w:ascii="仿宋_GB2312" w:hAnsi="仿宋_GB2312" w:eastAsia="仿宋_GB2312" w:cs="仿宋_GB2312"/>
                <w:sz w:val="24"/>
                <w:highlight w:val="none"/>
                <w:lang w:val="en-US" w:eastAsia="zh-CN"/>
              </w:rPr>
              <w:t>3</w:t>
            </w:r>
            <w:r>
              <w:rPr>
                <w:rFonts w:hint="default" w:ascii="仿宋_GB2312" w:hAnsi="仿宋_GB2312" w:eastAsia="仿宋_GB2312" w:cs="仿宋_GB2312"/>
                <w:sz w:val="24"/>
                <w:highlight w:val="none"/>
                <w:lang w:val="en-US" w:eastAsia="zh-CN"/>
              </w:rPr>
              <w:t>分，须提供有效期内的证书复印件及国家认证认可监督管理委员会官网（http://www.cnca.gov.cn/）查询结果截图并加盖供应商公章，原件备查，否则不得分。</w:t>
            </w:r>
          </w:p>
        </w:tc>
      </w:tr>
      <w:tr w14:paraId="341B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72FE5801">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供应商实力3</w:t>
            </w:r>
          </w:p>
        </w:tc>
        <w:tc>
          <w:tcPr>
            <w:tcW w:w="972" w:type="dxa"/>
            <w:tcBorders>
              <w:top w:val="nil"/>
              <w:left w:val="single" w:color="000000" w:sz="8" w:space="0"/>
              <w:bottom w:val="single" w:color="000000" w:sz="8" w:space="0"/>
              <w:right w:val="single" w:color="000000" w:sz="8" w:space="0"/>
            </w:tcBorders>
            <w:shd w:val="clear" w:color="auto" w:fill="auto"/>
            <w:vAlign w:val="center"/>
          </w:tcPr>
          <w:p w14:paraId="7A973E35">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3</w:t>
            </w:r>
          </w:p>
        </w:tc>
        <w:tc>
          <w:tcPr>
            <w:tcW w:w="6984" w:type="dxa"/>
            <w:tcBorders>
              <w:top w:val="nil"/>
              <w:left w:val="single" w:color="000000" w:sz="8" w:space="0"/>
              <w:bottom w:val="single" w:color="000000" w:sz="8" w:space="0"/>
              <w:right w:val="single" w:color="000000" w:sz="8" w:space="0"/>
            </w:tcBorders>
            <w:shd w:val="clear" w:color="auto" w:fill="auto"/>
            <w:vAlign w:val="center"/>
          </w:tcPr>
          <w:p w14:paraId="594551E8">
            <w:pPr>
              <w:keepNext w:val="0"/>
              <w:keepLines w:val="0"/>
              <w:pageBreakBefore w:val="0"/>
              <w:kinsoku/>
              <w:wordWrap/>
              <w:overflowPunct/>
              <w:topLinePunct w:val="0"/>
              <w:autoSpaceDE/>
              <w:autoSpaceDN/>
              <w:bidi w:val="0"/>
              <w:adjustRightInd/>
              <w:spacing w:line="360" w:lineRule="auto"/>
              <w:ind w:left="0" w:leftChars="0" w:firstLine="0" w:firstLineChars="0"/>
              <w:jc w:val="left"/>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建设的软件或平台获得过省级（含自治区、直辖市）及以上政府部门（含事业单位）认定或认证为重点平台的，每个得2分；获得地级市（设区市）政府部门（含事业单位）认定或认证为重点平台的，每个得1分。本小项满分</w:t>
            </w:r>
            <w:r>
              <w:rPr>
                <w:rFonts w:hint="eastAsia" w:ascii="仿宋_GB2312" w:hAnsi="仿宋_GB2312" w:eastAsia="仿宋_GB2312" w:cs="仿宋_GB2312"/>
                <w:sz w:val="24"/>
                <w:highlight w:val="none"/>
                <w:lang w:val="en-US" w:eastAsia="zh-CN"/>
              </w:rPr>
              <w:t>3</w:t>
            </w:r>
            <w:r>
              <w:rPr>
                <w:rFonts w:hint="default" w:ascii="仿宋_GB2312" w:hAnsi="仿宋_GB2312" w:eastAsia="仿宋_GB2312" w:cs="仿宋_GB2312"/>
                <w:sz w:val="24"/>
                <w:highlight w:val="none"/>
                <w:lang w:val="en-US" w:eastAsia="zh-CN"/>
              </w:rPr>
              <w:t>分。 注：1、供应商须提供有效的证明材料复印件，证明材料应体现相应特征，否则不得分； 2、同一项目、平台或软件在商务项评分项中不重复加分。</w:t>
            </w:r>
          </w:p>
        </w:tc>
      </w:tr>
      <w:tr w14:paraId="7284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1B158385">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供应商创新能力</w:t>
            </w:r>
          </w:p>
        </w:tc>
        <w:tc>
          <w:tcPr>
            <w:tcW w:w="972" w:type="dxa"/>
            <w:tcBorders>
              <w:top w:val="nil"/>
              <w:left w:val="single" w:color="000000" w:sz="8" w:space="0"/>
              <w:bottom w:val="single" w:color="000000" w:sz="8" w:space="0"/>
              <w:right w:val="single" w:color="000000" w:sz="8" w:space="0"/>
            </w:tcBorders>
            <w:shd w:val="clear" w:color="auto" w:fill="auto"/>
            <w:vAlign w:val="center"/>
          </w:tcPr>
          <w:p w14:paraId="3DE1D69F">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3</w:t>
            </w:r>
          </w:p>
        </w:tc>
        <w:tc>
          <w:tcPr>
            <w:tcW w:w="6984" w:type="dxa"/>
            <w:tcBorders>
              <w:top w:val="nil"/>
              <w:left w:val="single" w:color="000000" w:sz="8" w:space="0"/>
              <w:bottom w:val="single" w:color="000000" w:sz="8" w:space="0"/>
              <w:right w:val="single" w:color="000000" w:sz="8" w:space="0"/>
            </w:tcBorders>
            <w:shd w:val="clear" w:color="auto" w:fill="auto"/>
            <w:vAlign w:val="center"/>
          </w:tcPr>
          <w:p w14:paraId="453ADDA4">
            <w:pPr>
              <w:keepNext w:val="0"/>
              <w:keepLines w:val="0"/>
              <w:pageBreakBefore w:val="0"/>
              <w:kinsoku/>
              <w:wordWrap/>
              <w:overflowPunct/>
              <w:topLinePunct w:val="0"/>
              <w:autoSpaceDE/>
              <w:autoSpaceDN/>
              <w:bidi w:val="0"/>
              <w:adjustRightInd/>
              <w:spacing w:line="360" w:lineRule="auto"/>
              <w:ind w:left="0" w:leftChars="0" w:firstLine="0" w:firstLineChars="0"/>
              <w:jc w:val="left"/>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建设的软件产品获省级（含自治区、直辖市）及以上政府部门（含事业单位）认定为创新案例的，每个得1分；地级市（设区市）及以上政府部门（含事业单位）认定为创新案例的，得0.5分。本小项满分3分。 注：1、供应商须提供有效的证明材料复印件，证明材料应能体现相应特征，否则不得分； 2、同一项目、平台或软件在商务项评分项中不重复加分。</w:t>
            </w:r>
          </w:p>
        </w:tc>
      </w:tr>
      <w:tr w14:paraId="7EC9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6B42C4AC">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人员实力</w:t>
            </w:r>
          </w:p>
        </w:tc>
        <w:tc>
          <w:tcPr>
            <w:tcW w:w="972" w:type="dxa"/>
            <w:tcBorders>
              <w:top w:val="nil"/>
              <w:left w:val="single" w:color="000000" w:sz="8" w:space="0"/>
              <w:bottom w:val="single" w:color="000000" w:sz="8" w:space="0"/>
              <w:right w:val="single" w:color="000000" w:sz="8" w:space="0"/>
            </w:tcBorders>
            <w:shd w:val="clear" w:color="auto" w:fill="auto"/>
            <w:vAlign w:val="center"/>
          </w:tcPr>
          <w:p w14:paraId="326B72EB">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w:t>
            </w:r>
          </w:p>
        </w:tc>
        <w:tc>
          <w:tcPr>
            <w:tcW w:w="6984" w:type="dxa"/>
            <w:tcBorders>
              <w:top w:val="nil"/>
              <w:left w:val="single" w:color="000000" w:sz="8" w:space="0"/>
              <w:bottom w:val="single" w:color="000000" w:sz="8" w:space="0"/>
              <w:right w:val="single" w:color="000000" w:sz="8" w:space="0"/>
            </w:tcBorders>
            <w:shd w:val="clear" w:color="auto" w:fill="auto"/>
            <w:vAlign w:val="center"/>
          </w:tcPr>
          <w:p w14:paraId="61C685E4">
            <w:pPr>
              <w:keepNext w:val="0"/>
              <w:keepLines w:val="0"/>
              <w:pageBreakBefore w:val="0"/>
              <w:kinsoku/>
              <w:wordWrap/>
              <w:overflowPunct/>
              <w:topLinePunct w:val="0"/>
              <w:autoSpaceDE/>
              <w:autoSpaceDN/>
              <w:bidi w:val="0"/>
              <w:adjustRightInd/>
              <w:spacing w:line="360" w:lineRule="auto"/>
              <w:ind w:left="0" w:leftChars="0" w:firstLine="0" w:firstLineChars="0"/>
              <w:jc w:val="left"/>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供应商具有由中国网络安全审查技术与认证中心颁布的“信息安全保障人员认证证书”的得</w:t>
            </w:r>
            <w:r>
              <w:rPr>
                <w:rFonts w:hint="eastAsia" w:ascii="仿宋_GB2312" w:hAnsi="仿宋_GB2312" w:eastAsia="仿宋_GB2312" w:cs="仿宋_GB2312"/>
                <w:sz w:val="24"/>
                <w:highlight w:val="none"/>
                <w:lang w:val="en-US" w:eastAsia="zh-CN"/>
              </w:rPr>
              <w:t>2</w:t>
            </w:r>
            <w:r>
              <w:rPr>
                <w:rFonts w:hint="default" w:ascii="仿宋_GB2312" w:hAnsi="仿宋_GB2312" w:eastAsia="仿宋_GB2312" w:cs="仿宋_GB2312"/>
                <w:sz w:val="24"/>
                <w:highlight w:val="none"/>
                <w:lang w:val="en-US" w:eastAsia="zh-CN"/>
              </w:rPr>
              <w:t>分。须提供证书有效的证明材料复印件，及对应人员于投标截止时间前三个月（含投标截止时间当月）中任意一个月依法在供应商处缴纳社保（至少包含基本养老保险）的证明材料复印件，否则不得分。</w:t>
            </w:r>
          </w:p>
        </w:tc>
      </w:tr>
      <w:tr w14:paraId="3F26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2110E25E">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lang w:val="en-US" w:eastAsia="zh-CN"/>
              </w:rPr>
            </w:pPr>
            <w:r>
              <w:rPr>
                <w:rFonts w:hint="default" w:ascii="仿宋_GB2312" w:hAnsi="仿宋_GB2312" w:eastAsia="仿宋_GB2312" w:cs="仿宋_GB2312"/>
                <w:sz w:val="24"/>
                <w:highlight w:val="none"/>
                <w:lang w:val="en-US" w:eastAsia="zh-CN"/>
              </w:rPr>
              <w:t>类似项目业绩</w:t>
            </w:r>
          </w:p>
        </w:tc>
        <w:tc>
          <w:tcPr>
            <w:tcW w:w="972" w:type="dxa"/>
            <w:tcBorders>
              <w:top w:val="nil"/>
              <w:left w:val="single" w:color="000000" w:sz="8" w:space="0"/>
              <w:bottom w:val="single" w:color="000000" w:sz="8" w:space="0"/>
              <w:right w:val="single" w:color="000000" w:sz="8" w:space="0"/>
            </w:tcBorders>
            <w:shd w:val="clear" w:color="auto" w:fill="auto"/>
            <w:vAlign w:val="center"/>
          </w:tcPr>
          <w:p w14:paraId="464F8D53">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hAnsi="仿宋_GB2312" w:eastAsia="仿宋_GB2312" w:cs="仿宋_GB2312"/>
                <w:sz w:val="24"/>
                <w:highlight w:val="none"/>
                <w:lang w:val="en-US" w:eastAsia="zh-CN"/>
              </w:rPr>
            </w:pPr>
            <w:r>
              <w:rPr>
                <w:rFonts w:hint="default" w:ascii="仿宋_GB2312" w:hAnsi="仿宋_GB2312" w:eastAsia="仿宋_GB2312" w:cs="仿宋_GB2312"/>
                <w:sz w:val="24"/>
                <w:highlight w:val="none"/>
                <w:lang w:val="en-US" w:eastAsia="zh-CN"/>
              </w:rPr>
              <w:t>3</w:t>
            </w:r>
          </w:p>
        </w:tc>
        <w:tc>
          <w:tcPr>
            <w:tcW w:w="6984" w:type="dxa"/>
            <w:tcBorders>
              <w:top w:val="nil"/>
              <w:left w:val="single" w:color="000000" w:sz="8" w:space="0"/>
              <w:bottom w:val="single" w:color="000000" w:sz="8" w:space="0"/>
              <w:right w:val="single" w:color="000000" w:sz="8" w:space="0"/>
            </w:tcBorders>
            <w:shd w:val="clear" w:color="auto" w:fill="auto"/>
            <w:vAlign w:val="center"/>
          </w:tcPr>
          <w:p w14:paraId="0FF7FDA6">
            <w:pPr>
              <w:keepNext w:val="0"/>
              <w:keepLines w:val="0"/>
              <w:pageBreakBefore w:val="0"/>
              <w:kinsoku/>
              <w:wordWrap/>
              <w:overflowPunct/>
              <w:topLinePunct w:val="0"/>
              <w:autoSpaceDE/>
              <w:autoSpaceDN/>
              <w:bidi w:val="0"/>
              <w:adjustRightInd/>
              <w:spacing w:line="360" w:lineRule="auto"/>
              <w:ind w:left="0" w:leftChars="0" w:firstLine="0" w:firstLineChars="0"/>
              <w:jc w:val="left"/>
              <w:textAlignment w:val="auto"/>
              <w:rPr>
                <w:rFonts w:hint="default" w:ascii="仿宋_GB2312" w:hAnsi="仿宋_GB2312" w:eastAsia="仿宋_GB2312" w:cs="仿宋_GB2312"/>
                <w:sz w:val="24"/>
                <w:highlight w:val="none"/>
                <w:lang w:val="en-US" w:eastAsia="zh-CN"/>
              </w:rPr>
            </w:pPr>
            <w:r>
              <w:rPr>
                <w:rFonts w:hint="default" w:ascii="仿宋_GB2312" w:hAnsi="仿宋_GB2312" w:eastAsia="仿宋_GB2312" w:cs="仿宋_GB2312"/>
                <w:sz w:val="24"/>
                <w:highlight w:val="none"/>
                <w:lang w:val="en-US" w:eastAsia="zh-CN"/>
              </w:rPr>
              <w:t>投标人具备信息化项目建设业绩的，每个得1</w:t>
            </w:r>
            <w:r>
              <w:rPr>
                <w:rFonts w:hint="eastAsia" w:ascii="仿宋_GB2312" w:hAnsi="仿宋_GB2312" w:eastAsia="仿宋_GB2312" w:cs="仿宋_GB2312"/>
                <w:sz w:val="24"/>
                <w:highlight w:val="none"/>
                <w:lang w:val="en-US" w:eastAsia="zh-CN"/>
              </w:rPr>
              <w:t>分，本小项满分</w:t>
            </w:r>
            <w:r>
              <w:rPr>
                <w:rFonts w:hint="default"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val="en-US" w:eastAsia="zh-CN"/>
              </w:rPr>
              <w:t xml:space="preserve">分。 注： </w:t>
            </w:r>
            <w:r>
              <w:rPr>
                <w:rFonts w:hint="default"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val="en-US" w:eastAsia="zh-CN"/>
              </w:rPr>
              <w:t xml:space="preserve">、须同时提供该业绩项目的中标公告（提供相关网站中标公告的下载网页并注明网址）、中标通知书复印件、合同复印件，以及能够证明该业绩项目已经采购人终验验收合格的相关证明文件复印件，否则不得分。 </w:t>
            </w:r>
            <w:r>
              <w:rPr>
                <w:rFonts w:hint="default"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val="en-US" w:eastAsia="zh-CN"/>
              </w:rPr>
              <w:t>、同一项目、平台或软件在商务项评分项中不重复加分。</w:t>
            </w:r>
          </w:p>
        </w:tc>
      </w:tr>
      <w:tr w14:paraId="5135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1056" w:type="dxa"/>
            <w:tcBorders>
              <w:top w:val="nil"/>
              <w:left w:val="single" w:color="000000" w:sz="8" w:space="0"/>
              <w:bottom w:val="single" w:color="000000" w:sz="8" w:space="0"/>
              <w:right w:val="single" w:color="000000" w:sz="8" w:space="0"/>
            </w:tcBorders>
            <w:shd w:val="clear" w:color="auto" w:fill="auto"/>
            <w:vAlign w:val="center"/>
          </w:tcPr>
          <w:p w14:paraId="39719939">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售后服务</w:t>
            </w:r>
          </w:p>
        </w:tc>
        <w:tc>
          <w:tcPr>
            <w:tcW w:w="972" w:type="dxa"/>
            <w:tcBorders>
              <w:top w:val="nil"/>
              <w:left w:val="single" w:color="000000" w:sz="8" w:space="0"/>
              <w:bottom w:val="single" w:color="000000" w:sz="8" w:space="0"/>
              <w:right w:val="single" w:color="000000" w:sz="8" w:space="0"/>
            </w:tcBorders>
            <w:shd w:val="clear" w:color="auto" w:fill="auto"/>
            <w:vAlign w:val="center"/>
          </w:tcPr>
          <w:p w14:paraId="190931D1">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2</w:t>
            </w:r>
          </w:p>
        </w:tc>
        <w:tc>
          <w:tcPr>
            <w:tcW w:w="6984" w:type="dxa"/>
            <w:tcBorders>
              <w:top w:val="nil"/>
              <w:left w:val="single" w:color="000000" w:sz="8" w:space="0"/>
              <w:bottom w:val="single" w:color="000000" w:sz="8" w:space="0"/>
              <w:right w:val="single" w:color="000000" w:sz="8" w:space="0"/>
            </w:tcBorders>
            <w:shd w:val="clear" w:color="auto" w:fill="auto"/>
            <w:vAlign w:val="center"/>
          </w:tcPr>
          <w:p w14:paraId="37E9FE74">
            <w:pPr>
              <w:keepNext w:val="0"/>
              <w:keepLines w:val="0"/>
              <w:pageBreakBefore w:val="0"/>
              <w:kinsoku/>
              <w:wordWrap/>
              <w:overflowPunct/>
              <w:topLinePunct w:val="0"/>
              <w:autoSpaceDE/>
              <w:autoSpaceDN/>
              <w:bidi w:val="0"/>
              <w:adjustRightInd/>
              <w:spacing w:line="360" w:lineRule="auto"/>
              <w:ind w:left="0" w:leftChars="0" w:firstLine="0" w:firstLineChars="0"/>
              <w:jc w:val="left"/>
              <w:textAlignment w:val="auto"/>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根据投标人承诺的售后服务进行评分。投标人应在投标文件中提供本项目售后服务方案，承诺本项目所能提供的售后服务内容。售后服务评审内容包含但不限于售后服务流程、售后网点、网点到达现场时间、服务人员配备、服务响应时间、应急措施等方面。售后服务方案完整、详尽、可行性强且响应时间最短的得2分；售后服务方案详实，总体可行的得0.5分；提供的方案不符合或未提供的不得分。本小项满分2分。</w:t>
            </w:r>
          </w:p>
        </w:tc>
      </w:tr>
    </w:tbl>
    <w:p w14:paraId="18BD10CE">
      <w:pPr>
        <w:bidi w:val="0"/>
        <w:ind w:left="0" w:leftChars="0" w:firstLine="0" w:firstLineChars="0"/>
        <w:jc w:val="both"/>
        <w:rPr>
          <w:rFonts w:hint="eastAsia" w:ascii="仿宋_GB2312" w:hAnsi="仿宋_GB2312" w:eastAsia="仿宋_GB2312" w:cs="仿宋_GB2312"/>
          <w:b/>
          <w:sz w:val="24"/>
          <w:szCs w:val="24"/>
          <w:highlight w:val="none"/>
          <w:lang w:eastAsia="zh-CN"/>
        </w:rPr>
      </w:pPr>
      <w:r>
        <w:rPr>
          <w:rFonts w:hint="eastAsia" w:ascii="仿宋_GB2312" w:hAnsi="仿宋_GB2312" w:eastAsia="仿宋_GB2312" w:cs="仿宋_GB2312"/>
          <w:b/>
          <w:sz w:val="24"/>
          <w:szCs w:val="24"/>
          <w:highlight w:val="none"/>
        </w:rPr>
        <w:t>说明</w:t>
      </w:r>
      <w:bookmarkEnd w:id="14"/>
      <w:bookmarkEnd w:id="15"/>
      <w:bookmarkEnd w:id="16"/>
      <w:r>
        <w:rPr>
          <w:rFonts w:hint="eastAsia" w:ascii="仿宋_GB2312" w:hAnsi="仿宋_GB2312" w:eastAsia="仿宋_GB2312" w:cs="仿宋_GB2312"/>
          <w:b/>
          <w:sz w:val="24"/>
          <w:szCs w:val="24"/>
          <w:highlight w:val="none"/>
          <w:lang w:eastAsia="zh-CN"/>
        </w:rPr>
        <w:t>：</w:t>
      </w:r>
    </w:p>
    <w:p w14:paraId="11AC84B0">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 适用范围</w:t>
      </w:r>
    </w:p>
    <w:p w14:paraId="7281542B">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1.1本磋商文件仅适用于磋商邀请中所叙述项目的服务采购。</w:t>
      </w:r>
    </w:p>
    <w:p w14:paraId="374C5F41">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 定义</w:t>
      </w:r>
    </w:p>
    <w:p w14:paraId="6B438E0D">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 “采购人”系指本次采购项目的业主方。</w:t>
      </w:r>
    </w:p>
    <w:p w14:paraId="022BCC18">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 “采购单位”系指组织本次磋商活动的采购人或</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w:t>
      </w:r>
    </w:p>
    <w:p w14:paraId="13A4ABFB">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 “</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”系指本次磋商采购项目活动组织方。</w:t>
      </w:r>
    </w:p>
    <w:p w14:paraId="5382A18B">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2.4 “磋商投标人”系指领取了本磋商文件，且已经提交或者准备提交本次响应文件的</w:t>
      </w:r>
      <w:r>
        <w:rPr>
          <w:rFonts w:hint="eastAsia" w:ascii="仿宋_GB2312" w:hAnsi="仿宋_GB2312" w:eastAsia="仿宋_GB2312" w:cs="仿宋_GB2312"/>
          <w:sz w:val="24"/>
          <w:szCs w:val="24"/>
          <w:highlight w:val="none"/>
          <w:lang w:val="zh-CN"/>
        </w:rPr>
        <w:t>物业服务机构</w:t>
      </w:r>
      <w:r>
        <w:rPr>
          <w:rFonts w:hint="eastAsia" w:ascii="仿宋_GB2312" w:hAnsi="仿宋_GB2312" w:eastAsia="仿宋_GB2312" w:cs="仿宋_GB2312"/>
          <w:sz w:val="24"/>
          <w:szCs w:val="24"/>
          <w:highlight w:val="none"/>
        </w:rPr>
        <w:t>。</w:t>
      </w:r>
    </w:p>
    <w:p w14:paraId="13CE383A">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 “服务”系指竞争性磋商文件规定磋商投标人须承担的劳动等其他类似的义务。</w:t>
      </w:r>
    </w:p>
    <w:p w14:paraId="21256D9B">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 合格的磋商投标人：</w:t>
      </w:r>
    </w:p>
    <w:p w14:paraId="5EE0B06A">
      <w:pPr>
        <w:keepNext w:val="0"/>
        <w:keepLines w:val="0"/>
        <w:pageBreakBefore w:val="0"/>
        <w:widowControl/>
        <w:kinsoku/>
        <w:wordWrap/>
        <w:overflowPunct/>
        <w:topLinePunct w:val="0"/>
        <w:bidi w:val="0"/>
        <w:spacing w:line="360" w:lineRule="auto"/>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3.1详见本章磋商投标人须知前附表第2项号要求</w:t>
      </w:r>
      <w:r>
        <w:rPr>
          <w:rFonts w:hint="eastAsia" w:ascii="仿宋_GB2312" w:hAnsi="仿宋_GB2312" w:eastAsia="仿宋_GB2312" w:cs="仿宋_GB2312"/>
          <w:kern w:val="0"/>
          <w:sz w:val="24"/>
          <w:szCs w:val="24"/>
          <w:highlight w:val="none"/>
        </w:rPr>
        <w:t>。</w:t>
      </w:r>
    </w:p>
    <w:p w14:paraId="1A39B901">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3.2一个磋商投标人只能提交一个响应文件。如果磋商投标人之间存在下列互为关联关系的情形之一的，不得同时参加本项目报价：</w:t>
      </w:r>
    </w:p>
    <w:p w14:paraId="6DD7B7FE">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法定代表人为同一人的两个及两个以上法人；</w:t>
      </w:r>
    </w:p>
    <w:p w14:paraId="40B75FE4">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母公司、直接或间接持股50％及以上的被投资公司；</w:t>
      </w:r>
    </w:p>
    <w:p w14:paraId="00776E1D">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 均为同一家母公司直接或间接持股50％及以上的被投资公司。</w:t>
      </w:r>
    </w:p>
    <w:p w14:paraId="1909A573">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3.4报价代理人在同一个项目中只能接受一个磋商投标人的委托参加报价。</w:t>
      </w:r>
    </w:p>
    <w:p w14:paraId="09552DEC">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4. 采购费用</w:t>
      </w:r>
    </w:p>
    <w:p w14:paraId="7513355C">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4.1 磋商投标人自行承担其参加报价所涉及的一切费用。</w:t>
      </w:r>
    </w:p>
    <w:p w14:paraId="33700252">
      <w:pPr>
        <w:pStyle w:val="34"/>
        <w:keepNext w:val="0"/>
        <w:keepLines w:val="0"/>
        <w:pageBreakBefore w:val="0"/>
        <w:kinsoku/>
        <w:wordWrap/>
        <w:overflowPunct/>
        <w:topLinePunct w:val="0"/>
        <w:bidi w:val="0"/>
        <w:spacing w:line="360" w:lineRule="auto"/>
        <w:jc w:val="center"/>
        <w:textAlignment w:val="auto"/>
        <w:outlineLvl w:val="9"/>
        <w:rPr>
          <w:rFonts w:hint="eastAsia" w:ascii="仿宋_GB2312" w:hAnsi="仿宋_GB2312" w:eastAsia="仿宋_GB2312" w:cs="仿宋_GB2312"/>
          <w:b/>
          <w:bCs/>
          <w:sz w:val="24"/>
          <w:szCs w:val="24"/>
          <w:highlight w:val="none"/>
        </w:rPr>
      </w:pPr>
    </w:p>
    <w:p w14:paraId="339184C4">
      <w:pPr>
        <w:pStyle w:val="34"/>
        <w:keepNext w:val="0"/>
        <w:keepLines w:val="0"/>
        <w:pageBreakBefore w:val="0"/>
        <w:kinsoku/>
        <w:wordWrap/>
        <w:overflowPunct/>
        <w:topLinePunct w:val="0"/>
        <w:bidi w:val="0"/>
        <w:spacing w:line="360" w:lineRule="auto"/>
        <w:jc w:val="center"/>
        <w:textAlignment w:val="auto"/>
        <w:outlineLvl w:val="1"/>
        <w:rPr>
          <w:rFonts w:hint="eastAsia" w:ascii="仿宋_GB2312" w:hAnsi="仿宋_GB2312" w:eastAsia="仿宋_GB2312" w:cs="仿宋_GB2312"/>
          <w:b/>
          <w:bCs/>
          <w:sz w:val="24"/>
          <w:szCs w:val="24"/>
          <w:highlight w:val="none"/>
        </w:rPr>
      </w:pPr>
      <w:bookmarkStart w:id="17" w:name="_Toc419227503"/>
      <w:bookmarkStart w:id="18" w:name="_Toc13383"/>
      <w:bookmarkStart w:id="19" w:name="_Toc6057"/>
      <w:bookmarkStart w:id="20" w:name="_Toc22877"/>
      <w:bookmarkStart w:id="21" w:name="_Toc29407"/>
      <w:r>
        <w:rPr>
          <w:rFonts w:hint="eastAsia" w:ascii="仿宋_GB2312" w:hAnsi="仿宋_GB2312" w:eastAsia="仿宋_GB2312" w:cs="仿宋_GB2312"/>
          <w:b/>
          <w:bCs/>
          <w:sz w:val="24"/>
          <w:szCs w:val="24"/>
          <w:highlight w:val="none"/>
        </w:rPr>
        <w:t>二、磋商文件</w:t>
      </w:r>
      <w:bookmarkEnd w:id="17"/>
      <w:bookmarkEnd w:id="18"/>
      <w:bookmarkEnd w:id="19"/>
      <w:bookmarkEnd w:id="20"/>
      <w:bookmarkEnd w:id="21"/>
    </w:p>
    <w:p w14:paraId="00274878">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5. 磋商文件的组成、澄清</w:t>
      </w:r>
    </w:p>
    <w:p w14:paraId="0AA05448">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5.1磋商文件用以阐明所需货物及服务磋商程序和合同主要条款。磋商文件由下述部分组成：</w:t>
      </w:r>
    </w:p>
    <w:p w14:paraId="39D1936E">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⑴ 磋商邀请</w:t>
      </w:r>
    </w:p>
    <w:p w14:paraId="7627B9BB">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⑵ 磋商投标人须知 </w:t>
      </w:r>
    </w:p>
    <w:p w14:paraId="6D1F80F9">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⑶ 磋商内容及</w:t>
      </w:r>
      <w:r>
        <w:rPr>
          <w:rFonts w:hint="eastAsia" w:ascii="仿宋_GB2312" w:hAnsi="仿宋_GB2312" w:eastAsia="仿宋_GB2312" w:cs="仿宋_GB2312"/>
          <w:sz w:val="24"/>
          <w:szCs w:val="24"/>
          <w:highlight w:val="none"/>
          <w:lang w:eastAsia="zh-CN"/>
        </w:rPr>
        <w:t>技术</w:t>
      </w:r>
      <w:r>
        <w:rPr>
          <w:rFonts w:hint="eastAsia" w:ascii="仿宋_GB2312" w:hAnsi="仿宋_GB2312" w:eastAsia="仿宋_GB2312" w:cs="仿宋_GB2312"/>
          <w:sz w:val="24"/>
          <w:szCs w:val="24"/>
          <w:highlight w:val="none"/>
        </w:rPr>
        <w:t>要求</w:t>
      </w:r>
    </w:p>
    <w:p w14:paraId="1C98BD3C">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⑷ </w:t>
      </w:r>
      <w:r>
        <w:rPr>
          <w:rFonts w:hint="eastAsia" w:ascii="仿宋_GB2312" w:hAnsi="仿宋_GB2312" w:eastAsia="仿宋_GB2312" w:cs="仿宋_GB2312"/>
          <w:bCs/>
          <w:sz w:val="24"/>
          <w:szCs w:val="24"/>
          <w:highlight w:val="none"/>
        </w:rPr>
        <w:t>采购合同(范本)</w:t>
      </w:r>
    </w:p>
    <w:p w14:paraId="709CC68F">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⑸ 响应文件格式</w:t>
      </w:r>
    </w:p>
    <w:p w14:paraId="2A047981">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⑹ 磋商相关附件</w:t>
      </w:r>
    </w:p>
    <w:p w14:paraId="453766CD">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5.2磋商文件的澄清</w:t>
      </w:r>
    </w:p>
    <w:p w14:paraId="12460217">
      <w:pPr>
        <w:pStyle w:val="8"/>
        <w:keepNext w:val="0"/>
        <w:keepLines w:val="0"/>
        <w:pageBreakBefore w:val="0"/>
        <w:kinsoku/>
        <w:wordWrap/>
        <w:overflowPunct/>
        <w:topLinePunct w:val="0"/>
        <w:bidi w:val="0"/>
        <w:snapToGrid w:val="0"/>
        <w:spacing w:line="360" w:lineRule="auto"/>
        <w:ind w:firstLine="480"/>
        <w:textAlignment w:val="auto"/>
        <w:rPr>
          <w:rFonts w:hint="eastAsia" w:ascii="仿宋_GB2312" w:hAnsi="仿宋_GB2312" w:eastAsia="仿宋_GB2312" w:cs="仿宋_GB2312"/>
          <w:sz w:val="24"/>
          <w:szCs w:val="24"/>
          <w:highlight w:val="none"/>
        </w:rPr>
      </w:pPr>
      <w:bookmarkStart w:id="22" w:name="_Toc384366219"/>
      <w:r>
        <w:rPr>
          <w:rFonts w:hint="eastAsia" w:ascii="仿宋_GB2312" w:hAnsi="仿宋_GB2312" w:eastAsia="仿宋_GB2312" w:cs="仿宋_GB2312"/>
          <w:sz w:val="24"/>
          <w:szCs w:val="24"/>
          <w:highlight w:val="none"/>
        </w:rPr>
        <w:t>磋商投标人对磋商文件如有疑点，可要求澄清。要求澄清应按磋商邀请中载明的地址以书面形式（包括信函、电报或传真，下同）通知</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将视情况在提交响应文件截止时5日（如至原定截止时间不足5日，则需延长提交响应文件截止时间）前将不标明查询来源的书面答复发给所有磋商投标人，并在采购信息发布的媒体上发布更正公告。该澄清内容为磋商文件的组成部分。</w:t>
      </w:r>
      <w:bookmarkEnd w:id="22"/>
      <w:bookmarkStart w:id="23" w:name="_Toc384366220"/>
      <w:bookmarkStart w:id="24" w:name="_Toc11894"/>
    </w:p>
    <w:p w14:paraId="43315A73">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5.3</w:t>
      </w:r>
      <w:bookmarkEnd w:id="23"/>
      <w:r>
        <w:rPr>
          <w:rFonts w:hint="eastAsia" w:ascii="仿宋_GB2312" w:hAnsi="仿宋_GB2312" w:eastAsia="仿宋_GB2312" w:cs="仿宋_GB2312"/>
          <w:sz w:val="24"/>
          <w:szCs w:val="24"/>
          <w:highlight w:val="none"/>
        </w:rPr>
        <w:t>提交响应文件截止之日前，采购人、</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或者磋商小组可以对已发出的磋商文件进行必要的澄清或者修改，澄清或者修改的内容作为磋商文件的组成部分。澄清或者修改的内容可能影响响应文件编制的，采购人、</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应当在提交首次响应文件截止时间至少5日前，以书面形式通知所有获取磋商文件的磋商投标人；不足5日的，采购人、</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应当顺延提交首次响应文件截止时间。</w:t>
      </w:r>
    </w:p>
    <w:p w14:paraId="3B61EC86">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5.4磋商投标人未在磋商文件规定时间内提出疑义的,视为认同本磋商文件中所有条款，今后将无权提出任何疑义。</w:t>
      </w:r>
      <w:bookmarkStart w:id="25" w:name="_Toc32091"/>
      <w:bookmarkStart w:id="26" w:name="_Toc419227504"/>
    </w:p>
    <w:p w14:paraId="384AA88F">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sz w:val="24"/>
          <w:szCs w:val="24"/>
          <w:highlight w:val="none"/>
        </w:rPr>
      </w:pPr>
    </w:p>
    <w:p w14:paraId="33130B8F">
      <w:pPr>
        <w:keepNext w:val="0"/>
        <w:keepLines w:val="0"/>
        <w:pageBreakBefore w:val="0"/>
        <w:kinsoku/>
        <w:wordWrap/>
        <w:overflowPunct/>
        <w:topLinePunct w:val="0"/>
        <w:bidi w:val="0"/>
        <w:spacing w:line="360" w:lineRule="auto"/>
        <w:jc w:val="center"/>
        <w:textAlignment w:val="auto"/>
        <w:outlineLvl w:val="1"/>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三、响应文件的编写</w:t>
      </w:r>
      <w:bookmarkEnd w:id="24"/>
      <w:bookmarkEnd w:id="25"/>
      <w:bookmarkEnd w:id="26"/>
    </w:p>
    <w:p w14:paraId="6522E87B">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6. 要求</w:t>
      </w:r>
    </w:p>
    <w:p w14:paraId="13A8F709">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6.1磋商投标人应仔细阅读磋商文件的所有内容，按照磋商文件的要求提交响应文件。响应文件应对磋商文件的要求作出实质性响应，并保证所提供的全部资料的真实性，否则其响应文件将被拒绝。</w:t>
      </w:r>
    </w:p>
    <w:p w14:paraId="123199AE">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6.2 除非有另外的规定，磋商投标人可对磋商服务一览表所列的全部合同包或部分合同包进行报价。</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不接受有任何可选择性的报价，每一种服务只能有一个报价。</w:t>
      </w:r>
    </w:p>
    <w:p w14:paraId="20D2DAAF">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7. 响应文件语言</w:t>
      </w:r>
    </w:p>
    <w:p w14:paraId="378CE15A">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7.1响应文件应用中文书写。响应文件中所附或所引用的原件不是中文时，必须提供具有翻译资质的机构翻译的中文译本。翻译机构应为中国翻译协会成员单位，翻译的中文译本应由翻译人员签名并加盖翻译机构公章，同时提供翻译人员翻译资格证书。磋商投标人报价时提供的中文译本、翻译机构及翻译人员资格证书可为复印件，并加盖磋商投标人公章。应附中文译本。各种计量单位及符号应采用国际上统一使用的公制计量单位和符号。</w:t>
      </w:r>
    </w:p>
    <w:p w14:paraId="4022CF8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※中文译本未按上述要求提供的，认定为该项资格或技术商务的证明文件/材料无效，即该项资格或</w:t>
      </w:r>
      <w:r>
        <w:rPr>
          <w:rFonts w:hint="eastAsia" w:ascii="仿宋_GB2312" w:hAnsi="仿宋_GB2312" w:eastAsia="仿宋_GB2312" w:cs="仿宋_GB2312"/>
          <w:sz w:val="24"/>
          <w:szCs w:val="24"/>
          <w:highlight w:val="none"/>
        </w:rPr>
        <w:t>技术商务要求不符合。</w:t>
      </w:r>
    </w:p>
    <w:p w14:paraId="4D2C7C1F">
      <w:pPr>
        <w:keepNext w:val="0"/>
        <w:keepLines w:val="0"/>
        <w:pageBreakBefore w:val="0"/>
        <w:numPr>
          <w:ilvl w:val="0"/>
          <w:numId w:val="5"/>
        </w:numPr>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响应文件的组</w:t>
      </w:r>
      <w:r>
        <w:rPr>
          <w:rFonts w:hint="eastAsia" w:ascii="仿宋_GB2312" w:hAnsi="仿宋_GB2312" w:eastAsia="仿宋_GB2312" w:cs="仿宋_GB2312"/>
          <w:sz w:val="24"/>
          <w:szCs w:val="24"/>
          <w:highlight w:val="none"/>
          <w:lang w:eastAsia="zh-CN"/>
        </w:rPr>
        <w:t>成</w:t>
      </w:r>
    </w:p>
    <w:p w14:paraId="3DA2C9EB">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响应文件应包括下列部分：</w:t>
      </w:r>
    </w:p>
    <w:p w14:paraId="63121826">
      <w:pPr>
        <w:pStyle w:val="18"/>
        <w:keepNext w:val="0"/>
        <w:keepLines w:val="0"/>
        <w:pageBreakBefore w:val="0"/>
        <w:numPr>
          <w:ilvl w:val="0"/>
          <w:numId w:val="6"/>
        </w:numPr>
        <w:shd w:val="clear" w:color="auto" w:fill="FFFFFF"/>
        <w:kinsoku/>
        <w:wordWrap/>
        <w:overflowPunct/>
        <w:topLinePunct w:val="0"/>
        <w:bidi w:val="0"/>
        <w:spacing w:before="75" w:beforeAutospacing="0" w:after="75" w:afterAutospacing="0" w:line="360" w:lineRule="auto"/>
        <w:ind w:left="845" w:leftChars="0" w:hanging="425" w:firstLineChars="0"/>
        <w:textAlignment w:val="auto"/>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响应函</w:t>
      </w:r>
    </w:p>
    <w:p w14:paraId="0910C06A">
      <w:pPr>
        <w:pStyle w:val="18"/>
        <w:keepNext w:val="0"/>
        <w:keepLines w:val="0"/>
        <w:pageBreakBefore w:val="0"/>
        <w:numPr>
          <w:ilvl w:val="0"/>
          <w:numId w:val="6"/>
        </w:numPr>
        <w:shd w:val="clear" w:color="auto" w:fill="FFFFFF"/>
        <w:kinsoku/>
        <w:wordWrap/>
        <w:overflowPunct/>
        <w:topLinePunct w:val="0"/>
        <w:bidi w:val="0"/>
        <w:spacing w:before="75" w:beforeAutospacing="0" w:after="75" w:afterAutospacing="0" w:line="360" w:lineRule="auto"/>
        <w:ind w:left="845" w:leftChars="0" w:hanging="425" w:firstLineChars="0"/>
        <w:textAlignment w:val="auto"/>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报价一览表（含详细报价书）</w:t>
      </w:r>
    </w:p>
    <w:p w14:paraId="6D78718A">
      <w:pPr>
        <w:pStyle w:val="18"/>
        <w:keepNext w:val="0"/>
        <w:keepLines w:val="0"/>
        <w:pageBreakBefore w:val="0"/>
        <w:numPr>
          <w:ilvl w:val="0"/>
          <w:numId w:val="6"/>
        </w:numPr>
        <w:shd w:val="clear" w:color="auto" w:fill="FFFFFF"/>
        <w:kinsoku/>
        <w:wordWrap/>
        <w:overflowPunct/>
        <w:topLinePunct w:val="0"/>
        <w:bidi w:val="0"/>
        <w:spacing w:before="75" w:beforeAutospacing="0" w:after="75" w:afterAutospacing="0" w:line="360" w:lineRule="auto"/>
        <w:ind w:left="845" w:leftChars="0" w:hanging="425" w:firstLineChars="0"/>
        <w:textAlignment w:val="auto"/>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资格证明文件</w:t>
      </w:r>
    </w:p>
    <w:p w14:paraId="1E1978CA">
      <w:pPr>
        <w:pStyle w:val="18"/>
        <w:keepNext w:val="0"/>
        <w:keepLines w:val="0"/>
        <w:pageBreakBefore w:val="0"/>
        <w:numPr>
          <w:ilvl w:val="0"/>
          <w:numId w:val="6"/>
        </w:numPr>
        <w:shd w:val="clear" w:color="auto" w:fill="FFFFFF"/>
        <w:kinsoku/>
        <w:wordWrap/>
        <w:overflowPunct/>
        <w:topLinePunct w:val="0"/>
        <w:bidi w:val="0"/>
        <w:spacing w:before="75" w:beforeAutospacing="0" w:after="75" w:afterAutospacing="0" w:line="360" w:lineRule="auto"/>
        <w:ind w:left="845" w:leftChars="0" w:hanging="425" w:firstLineChars="0"/>
        <w:textAlignment w:val="auto"/>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技术和商务偏离表</w:t>
      </w:r>
    </w:p>
    <w:p w14:paraId="3EECFB66">
      <w:pPr>
        <w:pStyle w:val="18"/>
        <w:keepNext w:val="0"/>
        <w:keepLines w:val="0"/>
        <w:pageBreakBefore w:val="0"/>
        <w:numPr>
          <w:ilvl w:val="0"/>
          <w:numId w:val="6"/>
        </w:numPr>
        <w:shd w:val="clear" w:color="auto" w:fill="FFFFFF"/>
        <w:kinsoku/>
        <w:wordWrap/>
        <w:overflowPunct/>
        <w:topLinePunct w:val="0"/>
        <w:bidi w:val="0"/>
        <w:spacing w:before="75" w:beforeAutospacing="0" w:after="75" w:afterAutospacing="0" w:line="360" w:lineRule="auto"/>
        <w:ind w:left="845" w:leftChars="0" w:hanging="425" w:firstLineChars="0"/>
        <w:textAlignment w:val="auto"/>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相关技术、商务、服务响应承诺及资料</w:t>
      </w:r>
    </w:p>
    <w:p w14:paraId="3C248904">
      <w:pPr>
        <w:pStyle w:val="18"/>
        <w:keepNext w:val="0"/>
        <w:keepLines w:val="0"/>
        <w:pageBreakBefore w:val="0"/>
        <w:numPr>
          <w:ilvl w:val="0"/>
          <w:numId w:val="6"/>
        </w:numPr>
        <w:shd w:val="clear" w:color="auto" w:fill="FFFFFF"/>
        <w:kinsoku/>
        <w:wordWrap/>
        <w:overflowPunct/>
        <w:topLinePunct w:val="0"/>
        <w:bidi w:val="0"/>
        <w:spacing w:before="75" w:beforeAutospacing="0" w:after="75" w:afterAutospacing="0" w:line="360" w:lineRule="auto"/>
        <w:ind w:left="845" w:leftChars="0" w:hanging="425" w:firstLineChars="0"/>
        <w:textAlignment w:val="auto"/>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供应商提交的其他资料</w:t>
      </w:r>
    </w:p>
    <w:p w14:paraId="7E060DD1">
      <w:pPr>
        <w:pStyle w:val="18"/>
        <w:keepNext w:val="0"/>
        <w:keepLines w:val="0"/>
        <w:pageBreakBefore w:val="0"/>
        <w:numPr>
          <w:ilvl w:val="0"/>
          <w:numId w:val="6"/>
        </w:numPr>
        <w:shd w:val="clear" w:color="auto" w:fill="FFFFFF"/>
        <w:kinsoku/>
        <w:wordWrap/>
        <w:overflowPunct/>
        <w:topLinePunct w:val="0"/>
        <w:bidi w:val="0"/>
        <w:spacing w:before="75" w:beforeAutospacing="0" w:after="75" w:afterAutospacing="0" w:line="360" w:lineRule="auto"/>
        <w:ind w:left="845" w:leftChars="0" w:hanging="425" w:firstLineChars="0"/>
        <w:textAlignment w:val="auto"/>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要求作为响应文件组成部分的其他内容（若有）</w:t>
      </w:r>
    </w:p>
    <w:p w14:paraId="7D7D0266">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9. 响应有效期</w:t>
      </w:r>
    </w:p>
    <w:p w14:paraId="264292E0">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9.1响应文件从磋商投标人须知前附表第4项所规定的提交响应文件截止时间之后开始生效，在磋商投标人须知前附表第3项所规定的期限内保持有效。有效期不足将导致其响应文件被拒绝。</w:t>
      </w:r>
    </w:p>
    <w:p w14:paraId="211FEE68">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9.2特殊情况下</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可于响应有效期满之前书面要求磋商投标人同意延长有效期，磋商投标人应在</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规定的期限内以书面形式予以答复。磋商投标人可以拒绝上述要求。磋商投标人答复不明确或者逾期未答复的，均视为拒绝上述要求。对于接受该要求的磋商投标人，不要求也不允许其修改响应文件。</w:t>
      </w:r>
    </w:p>
    <w:p w14:paraId="11DF5D91">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10. 响应文件的格式</w:t>
      </w:r>
    </w:p>
    <w:p w14:paraId="64ED4DCA">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10.1编制与装订要求</w:t>
      </w:r>
    </w:p>
    <w:p w14:paraId="73F2A5D4">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（1）磋商投标人须</w:t>
      </w:r>
      <w:r>
        <w:rPr>
          <w:rFonts w:hint="eastAsia" w:ascii="仿宋_GB2312" w:hAnsi="仿宋_GB2312" w:eastAsia="仿宋_GB2312" w:cs="仿宋_GB2312"/>
          <w:b/>
          <w:sz w:val="24"/>
          <w:szCs w:val="24"/>
          <w:highlight w:val="none"/>
          <w:u w:val="single"/>
        </w:rPr>
        <w:t>按磋商文件</w:t>
      </w:r>
      <w:r>
        <w:rPr>
          <w:rFonts w:hint="eastAsia" w:ascii="仿宋_GB2312" w:hAnsi="仿宋_GB2312" w:eastAsia="仿宋_GB2312" w:cs="仿宋_GB2312"/>
          <w:b/>
          <w:sz w:val="24"/>
          <w:szCs w:val="24"/>
          <w:highlight w:val="none"/>
        </w:rPr>
        <w:t>第二章“响应文件的编写”第8条规定编制响应文件正本一份，副本</w:t>
      </w:r>
      <w:r>
        <w:rPr>
          <w:rFonts w:hint="eastAsia" w:ascii="仿宋_GB2312" w:hAnsi="仿宋_GB2312" w:eastAsia="仿宋_GB2312" w:cs="仿宋_GB2312"/>
          <w:b/>
          <w:sz w:val="24"/>
          <w:szCs w:val="24"/>
          <w:highlight w:val="none"/>
          <w:lang w:eastAsia="zh-CN"/>
        </w:rPr>
        <w:t>贰</w:t>
      </w:r>
      <w:r>
        <w:rPr>
          <w:rFonts w:hint="eastAsia" w:ascii="仿宋_GB2312" w:hAnsi="仿宋_GB2312" w:eastAsia="仿宋_GB2312" w:cs="仿宋_GB2312"/>
          <w:b/>
          <w:sz w:val="24"/>
          <w:szCs w:val="24"/>
          <w:highlight w:val="none"/>
        </w:rPr>
        <w:t>份。</w:t>
      </w:r>
    </w:p>
    <w:p w14:paraId="3F95D3A0">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sz w:val="24"/>
          <w:szCs w:val="24"/>
          <w:highlight w:val="none"/>
        </w:rPr>
        <w:t>（2）</w:t>
      </w:r>
      <w:r>
        <w:rPr>
          <w:rFonts w:hint="eastAsia" w:ascii="仿宋_GB2312" w:hAnsi="仿宋_GB2312" w:eastAsia="仿宋_GB2312" w:cs="仿宋_GB2312"/>
          <w:b/>
          <w:bCs/>
          <w:sz w:val="24"/>
          <w:szCs w:val="24"/>
          <w:highlight w:val="none"/>
        </w:rPr>
        <w:t>响应文件必须用A4幅面纸张打印装订，应编制封面、目录、页码，必须用胶装（为永久性、无破坏不可拆分）装订成册，</w:t>
      </w:r>
      <w:r>
        <w:rPr>
          <w:rFonts w:hint="eastAsia" w:ascii="仿宋_GB2312" w:hAnsi="仿宋_GB2312" w:eastAsia="仿宋_GB2312" w:cs="仿宋_GB2312"/>
          <w:b/>
          <w:bCs/>
          <w:sz w:val="24"/>
          <w:szCs w:val="24"/>
          <w:highlight w:val="none"/>
          <w:lang w:eastAsia="zh-CN"/>
        </w:rPr>
        <w:t>并</w:t>
      </w:r>
      <w:r>
        <w:rPr>
          <w:rFonts w:hint="eastAsia" w:ascii="仿宋_GB2312" w:hAnsi="仿宋_GB2312" w:eastAsia="仿宋_GB2312" w:cs="仿宋_GB2312"/>
          <w:b/>
          <w:bCs/>
          <w:sz w:val="24"/>
          <w:szCs w:val="24"/>
          <w:highlight w:val="none"/>
        </w:rPr>
        <w:t>加盖骑缝章，并在封面标明“正本”字样；响应文件副本应与正本一致，可以用正本的完整复印件，并在封面标明“副本”字样。</w:t>
      </w:r>
    </w:p>
    <w:p w14:paraId="281E665E">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（3）正本与副本如有不一致，则以正本为准。</w:t>
      </w:r>
    </w:p>
    <w:p w14:paraId="4ABB4C4F">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yellow"/>
        </w:rPr>
      </w:pPr>
      <w:r>
        <w:rPr>
          <w:rFonts w:hint="eastAsia" w:ascii="仿宋_GB2312" w:hAnsi="仿宋_GB2312" w:eastAsia="仿宋_GB2312" w:cs="仿宋_GB2312"/>
          <w:b/>
          <w:sz w:val="24"/>
          <w:szCs w:val="24"/>
          <w:highlight w:val="none"/>
        </w:rPr>
        <w:t>（4）</w:t>
      </w:r>
      <w:r>
        <w:rPr>
          <w:rFonts w:hint="eastAsia" w:ascii="仿宋_GB2312" w:hAnsi="仿宋_GB2312" w:eastAsia="仿宋_GB2312" w:cs="仿宋_GB2312"/>
          <w:b/>
          <w:bCs/>
          <w:kern w:val="2"/>
          <w:sz w:val="24"/>
          <w:szCs w:val="24"/>
          <w:highlight w:val="none"/>
          <w:lang w:val="en-US" w:eastAsia="zh-CN" w:bidi="ar-SA"/>
        </w:rPr>
        <w:t>电子文件，磋商投标人必须随报价文件提交一套全部响应文件内容盖章版的电子文件发送至采购方邮箱（</w:t>
      </w:r>
      <w:r>
        <w:rPr>
          <w:rFonts w:hint="default" w:ascii="仿宋_GB2312" w:hAnsi="仿宋_GB2312" w:eastAsia="仿宋_GB2312" w:cs="仿宋_GB2312"/>
          <w:b/>
          <w:bCs/>
          <w:kern w:val="2"/>
          <w:sz w:val="24"/>
          <w:szCs w:val="24"/>
          <w:highlight w:val="none"/>
          <w:lang w:val="en-US" w:eastAsia="zh-CN" w:bidi="ar-SA"/>
        </w:rPr>
        <w:fldChar w:fldCharType="begin"/>
      </w:r>
      <w:r>
        <w:rPr>
          <w:rFonts w:hint="default" w:ascii="仿宋_GB2312" w:hAnsi="仿宋_GB2312" w:eastAsia="仿宋_GB2312" w:cs="仿宋_GB2312"/>
          <w:b/>
          <w:bCs/>
          <w:kern w:val="2"/>
          <w:sz w:val="24"/>
          <w:szCs w:val="24"/>
          <w:highlight w:val="none"/>
          <w:lang w:val="en-US" w:eastAsia="zh-CN" w:bidi="ar-SA"/>
        </w:rPr>
        <w:instrText xml:space="preserve"> HYPERLINK "mailto:ydsen@grgbanking.com" </w:instrText>
      </w:r>
      <w:r>
        <w:rPr>
          <w:rFonts w:hint="default" w:ascii="仿宋_GB2312" w:hAnsi="仿宋_GB2312" w:eastAsia="仿宋_GB2312" w:cs="仿宋_GB2312"/>
          <w:b/>
          <w:bCs/>
          <w:kern w:val="2"/>
          <w:sz w:val="24"/>
          <w:szCs w:val="24"/>
          <w:highlight w:val="none"/>
          <w:lang w:val="en-US" w:eastAsia="zh-CN" w:bidi="ar-SA"/>
        </w:rPr>
        <w:fldChar w:fldCharType="separate"/>
      </w:r>
      <w:r>
        <w:rPr>
          <w:rFonts w:hint="eastAsia" w:ascii="仿宋_GB2312" w:hAnsi="仿宋_GB2312" w:eastAsia="仿宋_GB2312" w:cs="仿宋_GB2312"/>
          <w:b/>
          <w:bCs/>
          <w:kern w:val="2"/>
          <w:sz w:val="24"/>
          <w:szCs w:val="24"/>
          <w:highlight w:val="none"/>
          <w:lang w:val="en-US" w:eastAsia="zh-CN" w:bidi="ar-SA"/>
        </w:rPr>
        <w:t>huangjunwen1</w:t>
      </w:r>
      <w:r>
        <w:rPr>
          <w:rFonts w:hint="default" w:ascii="仿宋_GB2312" w:hAnsi="仿宋_GB2312" w:eastAsia="仿宋_GB2312" w:cs="仿宋_GB2312"/>
          <w:b/>
          <w:bCs/>
          <w:kern w:val="2"/>
          <w:sz w:val="24"/>
          <w:szCs w:val="24"/>
          <w:highlight w:val="none"/>
          <w:lang w:val="en-US" w:eastAsia="zh-CN" w:bidi="ar-SA"/>
        </w:rPr>
        <w:t>@grgbanking.com</w:t>
      </w:r>
      <w:r>
        <w:rPr>
          <w:rFonts w:hint="default" w:ascii="仿宋_GB2312" w:hAnsi="仿宋_GB2312" w:eastAsia="仿宋_GB2312" w:cs="仿宋_GB2312"/>
          <w:b/>
          <w:bCs/>
          <w:kern w:val="2"/>
          <w:sz w:val="24"/>
          <w:szCs w:val="24"/>
          <w:highlight w:val="none"/>
          <w:lang w:val="en-US" w:eastAsia="zh-CN" w:bidi="ar-SA"/>
        </w:rPr>
        <w:fldChar w:fldCharType="end"/>
      </w:r>
      <w:r>
        <w:rPr>
          <w:rFonts w:hint="eastAsia" w:ascii="仿宋_GB2312" w:hAnsi="仿宋_GB2312" w:eastAsia="仿宋_GB2312" w:cs="仿宋_GB2312"/>
          <w:b/>
          <w:bCs/>
          <w:kern w:val="2"/>
          <w:sz w:val="24"/>
          <w:szCs w:val="24"/>
          <w:highlight w:val="none"/>
          <w:lang w:val="en-US" w:eastAsia="zh-CN" w:bidi="ar-SA"/>
        </w:rPr>
        <w:t>），其中所有文件不做压缩处理、不留密码，资质文件和证书等可用扫描以图片方式保存。</w:t>
      </w:r>
    </w:p>
    <w:p w14:paraId="67CD5F0F">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（5）未按以上第（1）至（4）款规定编制装订者其磋商响应将被视为无效文件。（请各磋商投标人特别注意）</w:t>
      </w:r>
    </w:p>
    <w:p w14:paraId="0F2FE09A">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10.2响应文件应由磋商投标人的法定代表人或者其授权代表签名并加盖公章，如由后者签名，应提供“法定代表人授权书”，否则将被视为无效文件。</w:t>
      </w:r>
    </w:p>
    <w:p w14:paraId="05EC1E6B">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10.3磋商投标人应提交证明其拟供服务符合磋商文件要求的技术响应文件，该文件可以是文字资料、图纸和数据，并须提供服务主要技术性能的详细描述。</w:t>
      </w:r>
    </w:p>
    <w:p w14:paraId="67BF6742">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10.4 响应文件的正本和全部副本均应使用不能擦去的墨料或墨水打印、书写或复印，并由法定代表人或其授权代表签署，盖磋商投标人公章。</w:t>
      </w:r>
    </w:p>
    <w:p w14:paraId="3D9EA467">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10.5全套响应文件应无涂改和行间插字，除非这些改动是根据</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 xml:space="preserve">的指示进行的，或者是为改正磋商投标人造成的必须修改的错误而进行的。有改动时，修改处应由授权代表签署证明或加盖校正章。 </w:t>
      </w:r>
    </w:p>
    <w:p w14:paraId="286F4733">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10.6未按本须知规定的格式填写响应文件、响应文件字迹模糊不清的，其响应文件将被拒绝。</w:t>
      </w:r>
    </w:p>
    <w:p w14:paraId="531EB9B2">
      <w:pPr>
        <w:keepNext w:val="0"/>
        <w:keepLines w:val="0"/>
        <w:pageBreakBefore w:val="0"/>
        <w:kinsoku/>
        <w:wordWrap/>
        <w:overflowPunct/>
        <w:topLinePunct w:val="0"/>
        <w:bidi w:val="0"/>
        <w:spacing w:line="360" w:lineRule="auto"/>
        <w:jc w:val="center"/>
        <w:textAlignment w:val="auto"/>
        <w:outlineLvl w:val="1"/>
        <w:rPr>
          <w:rFonts w:hint="eastAsia" w:ascii="仿宋_GB2312" w:hAnsi="仿宋_GB2312" w:eastAsia="仿宋_GB2312" w:cs="仿宋_GB2312"/>
          <w:b/>
          <w:sz w:val="24"/>
          <w:szCs w:val="24"/>
          <w:highlight w:val="none"/>
        </w:rPr>
      </w:pPr>
      <w:bookmarkStart w:id="27" w:name="_Toc22186"/>
      <w:bookmarkStart w:id="28" w:name="_Toc419227523"/>
      <w:bookmarkStart w:id="29" w:name="_Toc7739"/>
      <w:r>
        <w:rPr>
          <w:rFonts w:hint="eastAsia" w:ascii="仿宋_GB2312" w:hAnsi="仿宋_GB2312" w:eastAsia="仿宋_GB2312" w:cs="仿宋_GB2312"/>
          <w:b/>
          <w:sz w:val="24"/>
          <w:szCs w:val="24"/>
          <w:highlight w:val="none"/>
        </w:rPr>
        <w:t>四、响应文件的提交</w:t>
      </w:r>
      <w:bookmarkEnd w:id="27"/>
      <w:bookmarkEnd w:id="28"/>
      <w:bookmarkEnd w:id="29"/>
    </w:p>
    <w:p w14:paraId="0FF3932D">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11.响应文件的密封、标记和递交</w:t>
      </w:r>
    </w:p>
    <w:p w14:paraId="106CB658">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11.1 磋商投标人应将响应文件正本和全部副本密封，并在封口处加盖骑缝公章，标明磋商编号、磋商投标人名称、报价项目名称及“正本”或“副本”字样。响应文件未密封将导致响应文件被拒绝。</w:t>
      </w:r>
    </w:p>
    <w:p w14:paraId="49DADD4F">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11.2 每一密封处应注明“于[20</w:t>
      </w:r>
      <w:r>
        <w:rPr>
          <w:rFonts w:hint="eastAsia" w:ascii="仿宋_GB2312" w:hAnsi="仿宋_GB2312" w:eastAsia="仿宋_GB2312" w:cs="仿宋_GB2312"/>
          <w:b/>
          <w:sz w:val="24"/>
          <w:szCs w:val="24"/>
          <w:highlight w:val="none"/>
          <w:lang w:val="en-US" w:eastAsia="zh-CN"/>
        </w:rPr>
        <w:t>25</w:t>
      </w:r>
      <w:r>
        <w:rPr>
          <w:rFonts w:hint="eastAsia" w:ascii="仿宋_GB2312" w:hAnsi="仿宋_GB2312" w:eastAsia="仿宋_GB2312" w:cs="仿宋_GB2312"/>
          <w:b/>
          <w:sz w:val="24"/>
          <w:szCs w:val="24"/>
          <w:highlight w:val="none"/>
        </w:rPr>
        <w:t>年  月   日] [   午   ：   ]之前（指磋商邀请中规定的磋商日期及时间）不准启封”的字样，并加盖磋商投标人公章。</w:t>
      </w:r>
    </w:p>
    <w:p w14:paraId="0C449F6E">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11.3如果未按上述规定进行密封和标记，</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将不承担由此造成的对响应文件的误投或提前拆封的责任。</w:t>
      </w:r>
    </w:p>
    <w:p w14:paraId="0A52A264">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11.4响应文件应在磋商邀请中规定的截止时间前送达，迟到的响应文件为无效文件, 将被拒收。</w:t>
      </w:r>
    </w:p>
    <w:p w14:paraId="49231E66">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11.5磋商投标人在提交响应文件截止时间前，可以对所提交的响应文件进行补充、修改或者撤回，并书面通知采购人、</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。补充、修改的内容和撤回通知应当按本须知要求签署、盖章、密封，并作为响应文件的组成部分。补充、修改的内容与响应文件不一致的，以补充、修改的内容为准。</w:t>
      </w:r>
    </w:p>
    <w:p w14:paraId="6A50FF4E">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11.6磋商投标人在提交响应文件截止时间后不得修改、撤回响应文件。磋商投标人在提交响应文件截止时间后修改响应文件的，其响应文件被拒绝。</w:t>
      </w:r>
    </w:p>
    <w:p w14:paraId="7C4B74AD">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11.7要求</w:t>
      </w:r>
    </w:p>
    <w:p w14:paraId="262522A3">
      <w:pPr>
        <w:keepNext w:val="0"/>
        <w:keepLines w:val="0"/>
        <w:pageBreakBefore w:val="0"/>
        <w:kinsoku/>
        <w:wordWrap/>
        <w:overflowPunct/>
        <w:topLinePunct w:val="0"/>
        <w:bidi w:val="0"/>
        <w:adjustRightInd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（1）磋商投标人必须根据磋商文件中载明的资格要求，在响应文件中按本文件第二章第3.2条规定提供相应的证明材料，磋商投标人未按磋商文件要求提供证明材料的，将认定为该项资格条件不符合。</w:t>
      </w:r>
    </w:p>
    <w:p w14:paraId="2C8D3294">
      <w:pPr>
        <w:keepNext w:val="0"/>
        <w:keepLines w:val="0"/>
        <w:pageBreakBefore w:val="0"/>
        <w:kinsoku/>
        <w:wordWrap/>
        <w:overflowPunct/>
        <w:topLinePunct w:val="0"/>
        <w:bidi w:val="0"/>
        <w:adjustRightInd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磋商投标人必须根据磋商文件中载明的技术和商务要求，在响应文件中按规定提供相应的证明材料：属于实质性要求、不满足即为无效文件条款的，必须提供相应的证明材料，未按磋商文件要求提供证明材料的，认定为该项技术指标或商务条件不符合。</w:t>
      </w:r>
    </w:p>
    <w:p w14:paraId="6F6B3D25">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11.8提交响应文件截止时间结束后参加报价的磋商投标人不足三家的，本次磋商程序终止，除采购任务取消情形外，采购单位将依法重新组织磋商或者采取其他方式采购。</w:t>
      </w:r>
    </w:p>
    <w:p w14:paraId="7249ADBA">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bookmarkStart w:id="30" w:name="_Toc752"/>
      <w:bookmarkStart w:id="31" w:name="_Toc7756"/>
      <w:bookmarkStart w:id="32" w:name="_Toc419227524"/>
    </w:p>
    <w:p w14:paraId="0CCA5F44">
      <w:pPr>
        <w:pStyle w:val="2"/>
        <w:rPr>
          <w:rFonts w:hint="eastAsia"/>
          <w:highlight w:val="none"/>
        </w:rPr>
      </w:pPr>
    </w:p>
    <w:p w14:paraId="23E7AD7D">
      <w:pPr>
        <w:keepNext w:val="0"/>
        <w:keepLines w:val="0"/>
        <w:pageBreakBefore w:val="0"/>
        <w:kinsoku/>
        <w:wordWrap/>
        <w:overflowPunct/>
        <w:topLinePunct w:val="0"/>
        <w:bidi w:val="0"/>
        <w:spacing w:line="360" w:lineRule="auto"/>
        <w:jc w:val="center"/>
        <w:textAlignment w:val="auto"/>
        <w:outlineLvl w:val="1"/>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五、磋商程序</w:t>
      </w:r>
      <w:bookmarkEnd w:id="30"/>
      <w:bookmarkEnd w:id="31"/>
      <w:bookmarkEnd w:id="32"/>
    </w:p>
    <w:p w14:paraId="0ECF14A5">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 磋商投标人第一次提交响应文件</w:t>
      </w:r>
    </w:p>
    <w:p w14:paraId="6D1C1128">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12.1磋商投标人须编制由本须知第8条规定文件组成的响应文件一份，文件应用中文书写，正本一份，副本</w:t>
      </w:r>
      <w:r>
        <w:rPr>
          <w:rFonts w:hint="eastAsia" w:ascii="仿宋_GB2312" w:hAnsi="仿宋_GB2312" w:eastAsia="仿宋_GB2312" w:cs="仿宋_GB2312"/>
          <w:sz w:val="24"/>
          <w:szCs w:val="24"/>
          <w:highlight w:val="none"/>
          <w:lang w:eastAsia="zh-CN"/>
        </w:rPr>
        <w:t>贰</w:t>
      </w:r>
      <w:r>
        <w:rPr>
          <w:rFonts w:hint="eastAsia" w:ascii="仿宋_GB2312" w:hAnsi="仿宋_GB2312" w:eastAsia="仿宋_GB2312" w:cs="仿宋_GB2312"/>
          <w:sz w:val="24"/>
          <w:szCs w:val="24"/>
          <w:highlight w:val="none"/>
        </w:rPr>
        <w:t>份。</w:t>
      </w:r>
    </w:p>
    <w:p w14:paraId="75032DDD">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12.2响应文件应由磋商投标人授权代表签名并加盖公章。</w:t>
      </w:r>
    </w:p>
    <w:p w14:paraId="1F5C3291">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12.3本次磋商服务报价使用货币为人民币。</w:t>
      </w:r>
    </w:p>
    <w:p w14:paraId="20593087">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12.4磋商投标人应提交证明其提供服务符合磋商文件要求的响应文件，该文件可以是文字资料、图纸和数据，并须提供详细描述。</w:t>
      </w:r>
    </w:p>
    <w:p w14:paraId="58663983">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12.5 第一次提交响应文件须以书面形式提交。</w:t>
      </w:r>
    </w:p>
    <w:p w14:paraId="557DDB4B">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  磋商</w:t>
      </w:r>
    </w:p>
    <w:p w14:paraId="5680560F">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13.1 在进入磋商阶段之前，磋商小组将依据磋商投标人提交的响应文件，审查其合法资格、财务和履约能力等。如果磋商投标人无资格履行合同，其所提交的响应文件将按无效文件处理。</w:t>
      </w:r>
    </w:p>
    <w:p w14:paraId="0692FF31">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13.2 磋商小组还将确定每一磋商投标人提交的响应文件是否对磋商文件的要求做出实质性响应，没有实质性响应的文件将不进入磋商阶段。</w:t>
      </w:r>
    </w:p>
    <w:p w14:paraId="400B52DE">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13.3 磋商小组将邀请通过审查、且有实质性响应的磋商投标人至磋商现场进行磋商。</w:t>
      </w:r>
    </w:p>
    <w:p w14:paraId="0340737B">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13.4磋商小组所有成员集中与单一磋商投标人分别进行磋商，并给予所有参加磋商的磋商投标人平等的磋商机会。</w:t>
      </w:r>
    </w:p>
    <w:p w14:paraId="18CFD7FA">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13.5</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根据磋商服务和服务的特点依法组建磋商小组。磋商小组由技术、经济、法律方面的专家和采购人代表组成。成员为3人或以上单数组成，专家不能少于三分之二。在磋商后的适当时间里由磋商小组对响应文件进行审查、质疑、评估和比较，并做出授予合同的建议。</w:t>
      </w:r>
    </w:p>
    <w:p w14:paraId="35D5844D">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13.6在磋商过程中若发现磋商投标人所提供的资料为虚假资料，该磋商投标人的响应文件按无效文件处理。</w:t>
      </w:r>
    </w:p>
    <w:p w14:paraId="727ED46A">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 磋商投标人第二次提交响应文件</w:t>
      </w:r>
    </w:p>
    <w:p w14:paraId="022C4518">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14.1 按磋商文件要求，参加磋商的磋商投标人应蹉商完毕后提交最后磋商报价，已提交的最后报价计算价格得分。</w:t>
      </w:r>
    </w:p>
    <w:p w14:paraId="7C155554">
      <w:pPr>
        <w:keepNext w:val="0"/>
        <w:keepLines w:val="0"/>
        <w:pageBreakBefore w:val="0"/>
        <w:kinsoku/>
        <w:wordWrap/>
        <w:overflowPunct/>
        <w:topLinePunct w:val="0"/>
        <w:bidi w:val="0"/>
        <w:spacing w:line="360" w:lineRule="auto"/>
        <w:ind w:left="99" w:leftChars="47"/>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14.2 最后提交的报价及有关说明和资料须以书面形式（不包括电子邮件、传真等）提交，并且须磋商投标人签名是磋商投标人响应文件的有效组成部分。</w:t>
      </w:r>
      <w:bookmarkStart w:id="33" w:name="_Toc30004"/>
    </w:p>
    <w:bookmarkEnd w:id="33"/>
    <w:p w14:paraId="66246BF9">
      <w:pPr>
        <w:keepNext w:val="0"/>
        <w:keepLines w:val="0"/>
        <w:pageBreakBefore w:val="0"/>
        <w:kinsoku/>
        <w:wordWrap/>
        <w:overflowPunct/>
        <w:topLinePunct w:val="0"/>
        <w:bidi w:val="0"/>
        <w:spacing w:line="360" w:lineRule="auto"/>
        <w:jc w:val="center"/>
        <w:textAlignment w:val="auto"/>
        <w:outlineLvl w:val="1"/>
        <w:rPr>
          <w:rFonts w:hint="eastAsia" w:ascii="仿宋_GB2312" w:hAnsi="仿宋_GB2312" w:eastAsia="仿宋_GB2312" w:cs="仿宋_GB2312"/>
          <w:b/>
          <w:sz w:val="24"/>
          <w:szCs w:val="24"/>
          <w:highlight w:val="none"/>
        </w:rPr>
      </w:pPr>
      <w:bookmarkStart w:id="34" w:name="_Toc14630"/>
      <w:bookmarkStart w:id="35" w:name="_Toc419227525"/>
      <w:bookmarkStart w:id="36" w:name="_Toc18416"/>
      <w:bookmarkStart w:id="37" w:name="_Toc3595"/>
      <w:bookmarkStart w:id="38" w:name="_Toc419227526"/>
      <w:r>
        <w:rPr>
          <w:rFonts w:hint="eastAsia" w:ascii="仿宋_GB2312" w:hAnsi="仿宋_GB2312" w:eastAsia="仿宋_GB2312" w:cs="仿宋_GB2312"/>
          <w:b/>
          <w:sz w:val="24"/>
          <w:szCs w:val="24"/>
          <w:highlight w:val="none"/>
        </w:rPr>
        <w:t>六、响应文件的评估和比较</w:t>
      </w:r>
      <w:bookmarkEnd w:id="34"/>
      <w:bookmarkEnd w:id="35"/>
    </w:p>
    <w:p w14:paraId="1BE93BC1">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15. 响应文件的初审</w:t>
      </w:r>
    </w:p>
    <w:p w14:paraId="4E8B6482">
      <w:pPr>
        <w:keepNext w:val="0"/>
        <w:keepLines w:val="0"/>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对所有磋商投标人的评估，都采用相同的程序和标准。评议过程将严格按照磋商文件的要求和条件进行。</w:t>
      </w:r>
    </w:p>
    <w:p w14:paraId="7E7A4BF1">
      <w:pPr>
        <w:keepNext w:val="0"/>
        <w:keepLines w:val="0"/>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有关响应文件的审查、澄清、评估和比较以及推荐成交候选人的一切情况都不得透露给任一磋商投标人或与上述磋商工作无关的人员。</w:t>
      </w:r>
    </w:p>
    <w:p w14:paraId="26F5A2A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报价描述和证明材料不一致的，磋商小组应当要求磋商投标人进行书面澄清，并以不利于磋商投标人的内容为准进行评审。磋商投标人的澄清、说明应当采用书面形式，并不得超出响应文件的范围或者改变响应文件的实质性内容。磋商投标人按要求进行澄清的，采购人以澄清内容为准进行验收；磋商投标人未按要求进行澄清的，采购人以报价描述、证明材料中有利于采购人的内容进行验收。</w:t>
      </w:r>
    </w:p>
    <w:p w14:paraId="596B140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磋商投标人的澄清、说明或者更正应当由法定代表人或其授权代表签字或者加盖公章。由授权代表签字的，应当附法定代表人授权书。磋商投标人若为自然人的，应当由本人签字并附身份证明。</w:t>
      </w:r>
    </w:p>
    <w:p w14:paraId="21E1017E">
      <w:pPr>
        <w:keepNext w:val="0"/>
        <w:keepLines w:val="0"/>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磋商投标人任何试图影响磋商小组对响应文件的评估、比较或者推荐候选人的行为，都将导致其响应文件被拒绝。</w:t>
      </w:r>
    </w:p>
    <w:p w14:paraId="15604802">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15.1磋商小组将对响应文件进行检查，以确定响应文件是否完整、有无计算上的错误、文件是否已正确签署。评审专家应当遵守评审工作纪律，不得泄露评审情况和评审中获悉的商业秘密。磋商小组在评审过程中发现磋商投标人有行贿、提供虚假材料或者串通等违法行为的，应当及时向财政部门报告。评审专家在评审过程中受到非法干涉的，应当及时向财政、监察等部门举报。</w:t>
      </w:r>
    </w:p>
    <w:p w14:paraId="742B3A2F">
      <w:pPr>
        <w:keepNext w:val="0"/>
        <w:keepLines w:val="0"/>
        <w:pageBreakBefore w:val="0"/>
        <w:kinsoku/>
        <w:wordWrap/>
        <w:overflowPunct/>
        <w:topLinePunct w:val="0"/>
        <w:bidi w:val="0"/>
        <w:adjustRightInd w:val="0"/>
        <w:snapToGrid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15.2 算术错误将按以下方法更正：</w:t>
      </w:r>
    </w:p>
    <w:p w14:paraId="756CFBE5">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(1)响应文件中报价一览表内容与响应文件中明细表内容不一致的，以报价一览表为准。</w:t>
      </w:r>
    </w:p>
    <w:p w14:paraId="3E2BB678">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7462601F">
      <w:pPr>
        <w:keepNext w:val="0"/>
        <w:keepLines w:val="0"/>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如果磋商投标人不接受按上述方法对响应文件中的算术错误进行更正，其响应文件将被拒绝。</w:t>
      </w:r>
    </w:p>
    <w:p w14:paraId="4E3166B9">
      <w:pPr>
        <w:keepNext w:val="0"/>
        <w:keepLines w:val="0"/>
        <w:pageBreakBefore w:val="0"/>
        <w:tabs>
          <w:tab w:val="center" w:pos="4437"/>
        </w:tabs>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15.3资格性检查和符合性检查 </w:t>
      </w:r>
      <w:r>
        <w:rPr>
          <w:rFonts w:hint="eastAsia" w:ascii="仿宋_GB2312" w:hAnsi="仿宋_GB2312" w:eastAsia="仿宋_GB2312" w:cs="仿宋_GB2312"/>
          <w:sz w:val="24"/>
          <w:szCs w:val="24"/>
          <w:highlight w:val="none"/>
        </w:rPr>
        <w:tab/>
      </w:r>
    </w:p>
    <w:p w14:paraId="712A2B6F">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15.3.1资格性检查。依据法律法规和磋商文件的规定，在对响应文件详细评估之前，磋商小组将依据磋商投标人提交的响应文件按磋商投标人须知前附表第2项所述的资格标准对磋商投标人进行资格审查，以确定其是否具备报价资格。如果磋商投标人不具备报价资格，不满足磋商文件所规定的资格标准或提供资格证明文件不全的, 其响应文件将按无效文件处理。</w:t>
      </w:r>
    </w:p>
    <w:p w14:paraId="05C24D5A">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15.3.2符合性检查。依据磋商文件的规定，磋商小组还将从响应文件的有效性、完整性和对磋商文件的响应程度进行审查，以确定是否符合对磋商文件的实质性要求作出响应。实质性偏离是指：（1）实质性影响合同的范围、质量和履行；（2）实质性违背磋商文件，限制了采购人的权利和成交磋商投标人合同项下的义务；（3）不公正地影响了其它作出实质性响应的磋商投标人的竞争地位。对没有实质性响应的响应文件将不进行评估，其响应文件将被拒绝。凡有下列情况之一者，响应文件也将被视为未实质性响应磋商文件要求，按无效文件处理：</w:t>
      </w:r>
    </w:p>
    <w:p w14:paraId="4EBBC015">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（1）响应文件未按本章第12条规定要求进行装订、密封、标记、递交的；</w:t>
      </w:r>
    </w:p>
    <w:p w14:paraId="6AEF1647">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（2）响应文件未按规定由磋商投标人的法定代表人或其授权代表签名的；或未加盖磋商投标人公章的；或签名人未经法定代表人有效授权委托的；</w:t>
      </w:r>
    </w:p>
    <w:p w14:paraId="11160D27">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（3）响应文件有效期经磋商小组指出后仍不满足磋商文件要求的；</w:t>
      </w:r>
    </w:p>
    <w:p w14:paraId="77D1CD20">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（4）响应内容与磋商内容及要求有重大偏离或保留的；</w:t>
      </w:r>
    </w:p>
    <w:p w14:paraId="23830B4C">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（5）磋商投标人提交的是可选择的报价；</w:t>
      </w:r>
    </w:p>
    <w:p w14:paraId="767A3717">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（6）一个磋商投标人不止报一个标的；</w:t>
      </w:r>
    </w:p>
    <w:p w14:paraId="62AAFCEA">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（7）响应文件组成不符合磋商文件要求的；</w:t>
      </w:r>
    </w:p>
    <w:p w14:paraId="7BD47D3F">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（8）响应文件中提供虚假或失实资料的；</w:t>
      </w:r>
    </w:p>
    <w:p w14:paraId="74A39F2F">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（9）磋商投标人的报价超过最高限价的；</w:t>
      </w:r>
    </w:p>
    <w:p w14:paraId="09F14BA6">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（10）磋商投标人存在串通报价行为的；</w:t>
      </w:r>
    </w:p>
    <w:p w14:paraId="5D5EE015">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（11）未按规定办理报名手续的；</w:t>
      </w:r>
    </w:p>
    <w:p w14:paraId="359C3BF6">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（12）未在提交响应文件截止时间前送达的响应文件；</w:t>
      </w:r>
    </w:p>
    <w:p w14:paraId="588CA09F">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（13）响应文件没有正本的；</w:t>
      </w:r>
    </w:p>
    <w:p w14:paraId="4715826D">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（14）计划完成天数不满足磋商文件要求的；</w:t>
      </w:r>
    </w:p>
    <w:p w14:paraId="170FCD43">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（15）未满足磋商文件规定资格标准的；</w:t>
      </w:r>
    </w:p>
    <w:p w14:paraId="033D624B">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（16）磋商投标人若为该采购项目提供整体设计、规范编制或者项目管理、监理、检测等服务的磋商投标人的；</w:t>
      </w:r>
    </w:p>
    <w:p w14:paraId="73563692">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（17）磋商投标人的报价明显低于其他报价，使得其磋商报价可能低于其个别成本的，有可能影响商品质量或不能诚信履约的，但不能合理说明原因或不能提供相关证明材料的；</w:t>
      </w:r>
    </w:p>
    <w:p w14:paraId="050FB495">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（18）不符合磋商文件中规定的其它实质性条款；</w:t>
      </w:r>
    </w:p>
    <w:p w14:paraId="64028ECC">
      <w:pPr>
        <w:keepNext w:val="0"/>
        <w:keepLines w:val="0"/>
        <w:pageBreakBefore w:val="0"/>
        <w:kinsoku/>
        <w:wordWrap/>
        <w:overflowPunct/>
        <w:topLinePunct w:val="0"/>
        <w:bidi w:val="0"/>
        <w:spacing w:line="360" w:lineRule="auto"/>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磋商小组决定响应文件的响应性只根据响应文件本身的内容，而不寻求其他的外部证据。</w:t>
      </w:r>
    </w:p>
    <w:p w14:paraId="03223B49">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16.磋商文件的修改</w:t>
      </w:r>
    </w:p>
    <w:p w14:paraId="0B745A3E">
      <w:pPr>
        <w:pStyle w:val="8"/>
        <w:keepNext w:val="0"/>
        <w:keepLines w:val="0"/>
        <w:pageBreakBefore w:val="0"/>
        <w:kinsoku/>
        <w:wordWrap/>
        <w:overflowPunct/>
        <w:topLinePunct w:val="0"/>
        <w:bidi w:val="0"/>
        <w:snapToGrid w:val="0"/>
        <w:spacing w:line="360" w:lineRule="auto"/>
        <w:ind w:firstLine="48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磋商过程中，磋商小组可以根据磋商文件和磋商情况实质性变动采购需求中的技术、服务要求以及合同范本条款，但不得变动磋商文件中的其他内容。实质性变动的内容，须经采购人代表确认。对磋商文件作出的实质性变动是磋商文件的有效组成部分，磋商小组应当及时以书面形式同时通知所有参加磋商的磋商投标人。磋商投标人应当按照磋商文件的变动情况和磋商小组的要求重新提交响应文件，并由其法定代表人或授权代表签名或者加盖公章。由授权代表签名的，应当附法定代表人授权书。</w:t>
      </w:r>
    </w:p>
    <w:p w14:paraId="0E816786">
      <w:pPr>
        <w:pStyle w:val="8"/>
        <w:keepNext w:val="0"/>
        <w:keepLines w:val="0"/>
        <w:pageBreakBefore w:val="0"/>
        <w:kinsoku/>
        <w:wordWrap/>
        <w:overflowPunct/>
        <w:topLinePunct w:val="0"/>
        <w:bidi w:val="0"/>
        <w:snapToGrid w:val="0"/>
        <w:spacing w:line="360" w:lineRule="auto"/>
        <w:ind w:firstLine="48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磋商结束后，所有继续参加磋商的磋商投标人应在规定时间内提交最后报价，提交最后报价的磋商投标人不得少于3家。</w:t>
      </w:r>
    </w:p>
    <w:p w14:paraId="64FA9963">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17. 比较与评价</w:t>
      </w:r>
    </w:p>
    <w:p w14:paraId="0F04AE5B">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sz w:val="24"/>
          <w:szCs w:val="24"/>
          <w:highlight w:val="none"/>
        </w:rPr>
        <w:t>17.1磋商投标人的响应文件符合磋商文件要求，</w:t>
      </w:r>
      <w:r>
        <w:rPr>
          <w:rFonts w:hint="eastAsia" w:ascii="仿宋_GB2312" w:hAnsi="仿宋_GB2312" w:eastAsia="仿宋_GB2312" w:cs="仿宋_GB2312"/>
          <w:b/>
          <w:bCs/>
          <w:sz w:val="24"/>
          <w:szCs w:val="24"/>
          <w:highlight w:val="none"/>
        </w:rPr>
        <w:t>磋商小组评估以响应文件满足磋商文件全部实质性要求且按评审因素的量化指标评审得分最高的磋商投标人为成交候选磋商投标人的原则。</w:t>
      </w:r>
    </w:p>
    <w:p w14:paraId="7D1791F6">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17.2 对漏（缺）报项的处理：磋商文件中要求列入报价的费用，漏（缺）报的视同已含在报价总价中。但在评估时取有效磋商投标人该项最高报价加入评估价进行评估。对多报项及赠送项的价格评估时不予核减，全部进入评估价评议。</w:t>
      </w:r>
    </w:p>
    <w:p w14:paraId="72E930A7">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17.3 若磋商投标人的报价明显低于其他报价，使得其磋商报价可能低于其个别成本的，有可能影响服务质量或不能诚信履约的，磋商投标人应按磋商小组要求作出书面说明并提供相关证明材料，不能合理说明或不能提供相关证明材料的，可作无效文件处理。</w:t>
      </w:r>
    </w:p>
    <w:p w14:paraId="6F27F2EA">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17.4 在磋商期间，若出现符合本须知规定的所有条件的磋商投标人不足三家情形的，按照国家开发银行采购管理有关规定执行。</w:t>
      </w:r>
    </w:p>
    <w:p w14:paraId="42FF81F4">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17.5 其他要求事项：</w:t>
      </w:r>
      <w:r>
        <w:rPr>
          <w:rFonts w:hint="eastAsia" w:ascii="仿宋_GB2312" w:hAnsi="仿宋_GB2312" w:eastAsia="仿宋_GB2312" w:cs="仿宋_GB2312"/>
          <w:sz w:val="24"/>
          <w:szCs w:val="24"/>
          <w:highlight w:val="none"/>
        </w:rPr>
        <w:t>采购人、</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不得向磋商小组中的评审专家作倾向性、误导性的解释或者说明。磋商小组成员应当按照客观、公正、审慎的原则，根据磋商文件规定的评审程序、评审方法和评审标准进行独立评审。未实质性响应磋商文件的响应文件按无效响应处理，磋商小组应当告知提交响应文件的磋商投标人。</w:t>
      </w:r>
    </w:p>
    <w:p w14:paraId="1ABB9FA8">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　　磋商小组成员应当在评审报告上签字，对自己的评审意见承担法律责任。对评审报告有异议的，应当在评审报告上签署不同意见，并说明理由，否则视为同意评审报告。</w:t>
      </w:r>
    </w:p>
    <w:p w14:paraId="1036E84F">
      <w:pPr>
        <w:keepNext w:val="0"/>
        <w:keepLines w:val="0"/>
        <w:pageBreakBefore w:val="0"/>
        <w:kinsoku/>
        <w:wordWrap/>
        <w:overflowPunct/>
        <w:topLinePunct w:val="0"/>
        <w:bidi w:val="0"/>
        <w:spacing w:line="360" w:lineRule="auto"/>
        <w:jc w:val="center"/>
        <w:textAlignment w:val="auto"/>
        <w:outlineLvl w:val="1"/>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七、成交与签订合同</w:t>
      </w:r>
      <w:bookmarkEnd w:id="36"/>
      <w:bookmarkEnd w:id="37"/>
      <w:bookmarkEnd w:id="38"/>
    </w:p>
    <w:p w14:paraId="73CDCAA1">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18.成交准则</w:t>
      </w:r>
    </w:p>
    <w:p w14:paraId="46C0F335">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sz w:val="24"/>
          <w:szCs w:val="24"/>
          <w:highlight w:val="none"/>
        </w:rPr>
        <w:t>18.1磋商投标人的响应文件满足磋商文件全部实质性要求，</w:t>
      </w:r>
      <w:r>
        <w:rPr>
          <w:rFonts w:hint="eastAsia" w:ascii="仿宋_GB2312" w:hAnsi="仿宋_GB2312" w:eastAsia="仿宋_GB2312" w:cs="仿宋_GB2312"/>
          <w:b/>
          <w:bCs/>
          <w:sz w:val="24"/>
          <w:szCs w:val="24"/>
          <w:highlight w:val="none"/>
        </w:rPr>
        <w:t>磋商小组评估以符合采购要求、质量和服务</w:t>
      </w:r>
      <w:r>
        <w:rPr>
          <w:rFonts w:hint="eastAsia" w:ascii="仿宋_GB2312" w:hAnsi="仿宋_GB2312" w:eastAsia="仿宋_GB2312" w:cs="仿宋_GB2312"/>
          <w:b/>
          <w:kern w:val="0"/>
          <w:sz w:val="24"/>
          <w:szCs w:val="24"/>
          <w:highlight w:val="none"/>
        </w:rPr>
        <w:t>均能满足</w:t>
      </w:r>
      <w:r>
        <w:rPr>
          <w:rFonts w:hint="eastAsia" w:ascii="仿宋_GB2312" w:hAnsi="仿宋_GB2312" w:eastAsia="仿宋_GB2312" w:cs="仿宋_GB2312"/>
          <w:b/>
          <w:sz w:val="24"/>
          <w:szCs w:val="24"/>
          <w:highlight w:val="none"/>
        </w:rPr>
        <w:t>磋商文件</w:t>
      </w:r>
      <w:r>
        <w:rPr>
          <w:rFonts w:hint="eastAsia" w:ascii="仿宋_GB2312" w:hAnsi="仿宋_GB2312" w:eastAsia="仿宋_GB2312" w:cs="仿宋_GB2312"/>
          <w:b/>
          <w:kern w:val="0"/>
          <w:sz w:val="24"/>
          <w:szCs w:val="24"/>
          <w:highlight w:val="none"/>
        </w:rPr>
        <w:t>实质性响应要求</w:t>
      </w:r>
      <w:r>
        <w:rPr>
          <w:rFonts w:hint="eastAsia" w:ascii="仿宋_GB2312" w:hAnsi="仿宋_GB2312" w:eastAsia="仿宋_GB2312" w:cs="仿宋_GB2312"/>
          <w:b/>
          <w:bCs/>
          <w:sz w:val="24"/>
          <w:szCs w:val="24"/>
          <w:highlight w:val="none"/>
        </w:rPr>
        <w:t>且得分最高成交为原则。</w:t>
      </w:r>
    </w:p>
    <w:p w14:paraId="5C8D8DEA">
      <w:pPr>
        <w:keepNext w:val="0"/>
        <w:keepLines w:val="0"/>
        <w:pageBreakBefore w:val="0"/>
        <w:tabs>
          <w:tab w:val="left" w:pos="2070"/>
        </w:tabs>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19. 成交通知</w:t>
      </w:r>
      <w:r>
        <w:rPr>
          <w:rFonts w:hint="eastAsia" w:ascii="仿宋_GB2312" w:hAnsi="仿宋_GB2312" w:eastAsia="仿宋_GB2312" w:cs="仿宋_GB2312"/>
          <w:b/>
          <w:sz w:val="24"/>
          <w:szCs w:val="24"/>
          <w:highlight w:val="none"/>
        </w:rPr>
        <w:tab/>
      </w:r>
    </w:p>
    <w:p w14:paraId="1E05FA92">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19.1 评审结束后，评审结果经采购人确认后</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个工作日内，采购</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sz w:val="24"/>
          <w:szCs w:val="24"/>
          <w:highlight w:val="none"/>
        </w:rPr>
        <w:t>应在刊登本采购项目采购公告的媒介上对成交结果进行公告，同时向成交磋商投标人发出成交通知书，并将磋商文件随成交结果同时公告。成交通知书对采购人和成交磋商投标人具有同等法律效力。成交通知书发出后，采购人改变成交结果，或者成交磋商投标人放弃成交，应按相关法律、规章、规范性文件的要求承担相应的法律责任。磋商投标人对成交结果公告有异议的，应当在知道或应当知道其权益受到损害之日起7个工作日内，以书面形式向采购人或采购</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sz w:val="24"/>
          <w:szCs w:val="24"/>
          <w:highlight w:val="none"/>
        </w:rPr>
        <w:t>提出质疑。</w:t>
      </w:r>
    </w:p>
    <w:p w14:paraId="63B521F7">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19.2 《成交通知书》发出同时应书面通知没有成交的其它磋商投标人。</w:t>
      </w:r>
    </w:p>
    <w:p w14:paraId="5991340D">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19.3 《成交通知书》将作为签订合同的依据。《合同》签订后，《成交通知书》成为《合同》的一部分。</w:t>
      </w:r>
    </w:p>
    <w:p w14:paraId="44CF8937">
      <w:pPr>
        <w:pStyle w:val="33"/>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color w:val="auto"/>
          <w:sz w:val="24"/>
          <w:szCs w:val="24"/>
          <w:highlight w:val="none"/>
        </w:rPr>
        <w:t>20</w:t>
      </w:r>
      <w:r>
        <w:rPr>
          <w:rFonts w:hint="eastAsia" w:ascii="仿宋_GB2312" w:hAnsi="仿宋_GB2312" w:eastAsia="仿宋_GB2312" w:cs="仿宋_GB2312"/>
          <w:b/>
          <w:color w:val="auto"/>
          <w:sz w:val="24"/>
          <w:szCs w:val="24"/>
          <w:highlight w:val="none"/>
        </w:rPr>
        <w:t>.签订合同</w:t>
      </w:r>
    </w:p>
    <w:p w14:paraId="7DB5147D">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20.1采购人、成交磋商投标人在《成交通知书》发出之日起</w:t>
      </w:r>
      <w:r>
        <w:rPr>
          <w:rFonts w:hint="eastAsia" w:ascii="仿宋_GB2312" w:hAnsi="仿宋_GB2312" w:eastAsia="仿宋_GB2312" w:cs="仿宋_GB2312"/>
          <w:sz w:val="24"/>
          <w:szCs w:val="24"/>
          <w:highlight w:val="none"/>
          <w:lang w:val="en-US" w:eastAsia="zh-CN"/>
        </w:rPr>
        <w:t>30</w:t>
      </w:r>
      <w:r>
        <w:rPr>
          <w:rFonts w:hint="eastAsia" w:ascii="仿宋_GB2312" w:hAnsi="仿宋_GB2312" w:eastAsia="仿宋_GB2312" w:cs="仿宋_GB2312"/>
          <w:sz w:val="24"/>
          <w:szCs w:val="24"/>
          <w:highlight w:val="none"/>
        </w:rPr>
        <w:t>日内，根据磋商文件、响应文件确定的合同文本以及采购标的、规格型号、采购金额、采购数量、技术和服务要求等事项签订合同。采购人不得向成交磋商投标人提出超出磋商文件、响应文件以外的任何要求作为签订合同的条件，不得与成交磋商投标人订立背离磋商文件、响应文件确定的合同文本以及采购标的、规格型号、采购金额、采购数量、技术和服务要求等实质性内容的协议。双方所签订的合同不得对磋商文件和成交磋商投标人响应文件作实质性修改。成交磋商投标人逾期不与采购人签订采购合同（委托协议范本）的，将视为自动放弃成交权。若采购人逾期不与成交磋商投标人签订合同的，按政府采购的有关规定处理。</w:t>
      </w:r>
    </w:p>
    <w:p w14:paraId="7199B0D6">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20.2磋商文件、磋商文件的修改文件、成交磋商投标人的响应文件、补充或修改的文件及澄清或承诺文件等，均为双方签订《合同》的组成部分，并与《合同》一并作为本磋商文件所列采购项目的互补性法律文件，与《合同》具有同等法律效力。</w:t>
      </w:r>
    </w:p>
    <w:p w14:paraId="6D58B65B">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20.3采购人在合同履行中，需追加与合同标的相同的货物或者服务的，在不改变合同其他条款的前提下，可与磋商投标人协商签订补充合同，但所有补充合同的采购金额不得超过原合同采购金额的百分之十。</w:t>
      </w:r>
    </w:p>
    <w:p w14:paraId="65778BCF">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20.4成交磋商投标人拒绝签订政府采购合同（委托协议范本）的，采购人可以按照《政府采购竞争性磋商采购方式管理暂行办法》第二十八条第二款规定的原则确定其他磋商投标人作为成交磋商投标人并签订政府采购合同（委托协议范本），也可以重新开展采购活动。拒绝签订政府采购合同（委托协议范本）的成交磋商投标人不得参加对该项目重新开展的采购活动。</w:t>
      </w:r>
    </w:p>
    <w:p w14:paraId="602FDB20">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21质疑处理时限</w:t>
      </w:r>
    </w:p>
    <w:p w14:paraId="6400B644">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21.1政府采购项目磋商投标人在知道或者应当知道其权益受到损害之日起7个工作日内书面向采购人、</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提出质疑并提供证明材料；采购人、</w:t>
      </w:r>
      <w:r>
        <w:rPr>
          <w:rFonts w:hint="eastAsia" w:ascii="仿宋_GB2312" w:hAnsi="仿宋_GB2312" w:eastAsia="仿宋_GB2312" w:cs="仿宋_GB2312"/>
          <w:sz w:val="24"/>
          <w:szCs w:val="24"/>
          <w:highlight w:val="none"/>
          <w:lang w:eastAsia="zh-CN"/>
        </w:rPr>
        <w:t>采购单位</w:t>
      </w:r>
      <w:r>
        <w:rPr>
          <w:rFonts w:hint="eastAsia" w:ascii="仿宋_GB2312" w:hAnsi="仿宋_GB2312" w:eastAsia="仿宋_GB2312" w:cs="仿宋_GB2312"/>
          <w:sz w:val="24"/>
          <w:szCs w:val="24"/>
          <w:highlight w:val="none"/>
        </w:rPr>
        <w:t>在收到质疑后7个工作日内作出书面答复。</w:t>
      </w:r>
    </w:p>
    <w:p w14:paraId="4C7DEB25">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21.2提出质疑期限的计算，依照下列规定办理： </w:t>
      </w:r>
    </w:p>
    <w:p w14:paraId="3A2A4012">
      <w:pPr>
        <w:keepNext w:val="0"/>
        <w:keepLines w:val="0"/>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①对磋商文件提出质疑的，</w:t>
      </w:r>
      <w:r>
        <w:rPr>
          <w:rFonts w:hint="eastAsia" w:ascii="仿宋_GB2312" w:hAnsi="仿宋_GB2312" w:eastAsia="仿宋_GB2312" w:cs="仿宋_GB2312"/>
          <w:bCs/>
          <w:sz w:val="24"/>
          <w:szCs w:val="24"/>
          <w:highlight w:val="none"/>
        </w:rPr>
        <w:t>为收到磋商文件之日或者磋商文件公告期限届满之日起7个工作日内</w:t>
      </w:r>
      <w:r>
        <w:rPr>
          <w:rFonts w:hint="eastAsia" w:ascii="仿宋_GB2312" w:hAnsi="仿宋_GB2312" w:eastAsia="仿宋_GB2312" w:cs="仿宋_GB2312"/>
          <w:sz w:val="24"/>
          <w:szCs w:val="24"/>
          <w:highlight w:val="none"/>
        </w:rPr>
        <w:t>。</w:t>
      </w:r>
    </w:p>
    <w:p w14:paraId="4799F984">
      <w:pPr>
        <w:keepNext w:val="0"/>
        <w:keepLines w:val="0"/>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②对采购过程提出质疑的，为各采购程序环节结束之日起</w:t>
      </w:r>
      <w:r>
        <w:rPr>
          <w:rFonts w:hint="eastAsia" w:ascii="仿宋_GB2312" w:hAnsi="仿宋_GB2312" w:eastAsia="仿宋_GB2312" w:cs="仿宋_GB2312"/>
          <w:bCs/>
          <w:sz w:val="24"/>
          <w:szCs w:val="24"/>
          <w:highlight w:val="none"/>
        </w:rPr>
        <w:t>7个工作日内</w:t>
      </w:r>
      <w:r>
        <w:rPr>
          <w:rFonts w:hint="eastAsia" w:ascii="仿宋_GB2312" w:hAnsi="仿宋_GB2312" w:eastAsia="仿宋_GB2312" w:cs="仿宋_GB2312"/>
          <w:sz w:val="24"/>
          <w:szCs w:val="24"/>
          <w:highlight w:val="none"/>
        </w:rPr>
        <w:t>。对磋商有异议的，必须在磋商现场提出。</w:t>
      </w:r>
    </w:p>
    <w:p w14:paraId="125AE13A">
      <w:pPr>
        <w:keepNext w:val="0"/>
        <w:keepLines w:val="0"/>
        <w:pageBreakBefore w:val="0"/>
        <w:kinsoku/>
        <w:wordWrap/>
        <w:overflowPunct/>
        <w:topLinePunct w:val="0"/>
        <w:bidi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③对成交结果提出质疑的，为成交结果公告期限届满之日起7个工作日内。</w:t>
      </w:r>
    </w:p>
    <w:p w14:paraId="36F27C44">
      <w:pPr>
        <w:pStyle w:val="8"/>
        <w:keepNext w:val="0"/>
        <w:keepLines w:val="0"/>
        <w:pageBreakBefore w:val="0"/>
        <w:kinsoku/>
        <w:wordWrap/>
        <w:overflowPunct/>
        <w:topLinePunct w:val="0"/>
        <w:bidi w:val="0"/>
        <w:snapToGrid w:val="0"/>
        <w:spacing w:line="360" w:lineRule="auto"/>
        <w:ind w:firstLine="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21.3磋商投标人提出质疑,应提交由法定代表人或授权代表（提供授权函）签署、加盖公章的书面原件（拒绝传真、电邮、电话形式等其它形式）并携带相关资料及营业执照副本、税务登记证复印件送达</w:t>
      </w:r>
      <w:r>
        <w:rPr>
          <w:rFonts w:hint="eastAsia" w:ascii="仿宋_GB2312" w:hAnsi="仿宋_GB2312" w:eastAsia="仿宋_GB2312" w:cs="仿宋_GB2312"/>
          <w:bCs/>
          <w:sz w:val="24"/>
          <w:szCs w:val="24"/>
          <w:highlight w:val="none"/>
          <w:lang w:eastAsia="zh-CN"/>
        </w:rPr>
        <w:t>采购单位</w:t>
      </w:r>
      <w:r>
        <w:rPr>
          <w:rFonts w:hint="eastAsia" w:ascii="仿宋_GB2312" w:hAnsi="仿宋_GB2312" w:eastAsia="仿宋_GB2312" w:cs="仿宋_GB2312"/>
          <w:bCs/>
          <w:sz w:val="24"/>
          <w:szCs w:val="24"/>
          <w:highlight w:val="none"/>
        </w:rPr>
        <w:t>。</w:t>
      </w:r>
      <w:r>
        <w:rPr>
          <w:rFonts w:hint="eastAsia" w:ascii="仿宋_GB2312" w:hAnsi="仿宋_GB2312" w:eastAsia="仿宋_GB2312" w:cs="仿宋_GB2312"/>
          <w:bCs/>
          <w:sz w:val="24"/>
          <w:szCs w:val="24"/>
          <w:highlight w:val="none"/>
          <w:lang w:eastAsia="zh-CN"/>
        </w:rPr>
        <w:t>采购单位</w:t>
      </w:r>
      <w:r>
        <w:rPr>
          <w:rFonts w:hint="eastAsia" w:ascii="仿宋_GB2312" w:hAnsi="仿宋_GB2312" w:eastAsia="仿宋_GB2312" w:cs="仿宋_GB2312"/>
          <w:bCs/>
          <w:sz w:val="24"/>
          <w:szCs w:val="24"/>
          <w:highlight w:val="none"/>
        </w:rPr>
        <w:t>有权要求质疑磋商投标人提供营业执照副本、税务登记证原件进行核查，质疑磋商投标人若无法提供原件或与原件不符的，</w:t>
      </w:r>
      <w:r>
        <w:rPr>
          <w:rFonts w:hint="eastAsia" w:ascii="仿宋_GB2312" w:hAnsi="仿宋_GB2312" w:eastAsia="仿宋_GB2312" w:cs="仿宋_GB2312"/>
          <w:bCs/>
          <w:sz w:val="24"/>
          <w:szCs w:val="24"/>
          <w:highlight w:val="none"/>
          <w:lang w:eastAsia="zh-CN"/>
        </w:rPr>
        <w:t>采购单位</w:t>
      </w:r>
      <w:r>
        <w:rPr>
          <w:rFonts w:hint="eastAsia" w:ascii="仿宋_GB2312" w:hAnsi="仿宋_GB2312" w:eastAsia="仿宋_GB2312" w:cs="仿宋_GB2312"/>
          <w:bCs/>
          <w:sz w:val="24"/>
          <w:szCs w:val="24"/>
          <w:highlight w:val="none"/>
        </w:rPr>
        <w:t>有权不予接收质疑。质疑书须包含具体的质疑事项，并列明磋商文件、磋商过程、成交结果使自己的合法权益受到损害的事实依据、理由及相关证明材料，质疑事项若属于有关法律、法规和规章规定处于保密阶段的事项，质疑磋商投标人必须提供信息来源或有效证据。质疑磋商投标人未按上述要求提交质疑的，</w:t>
      </w:r>
      <w:r>
        <w:rPr>
          <w:rFonts w:hint="eastAsia" w:ascii="仿宋_GB2312" w:hAnsi="仿宋_GB2312" w:eastAsia="仿宋_GB2312" w:cs="仿宋_GB2312"/>
          <w:bCs/>
          <w:sz w:val="24"/>
          <w:szCs w:val="24"/>
          <w:highlight w:val="none"/>
          <w:lang w:eastAsia="zh-CN"/>
        </w:rPr>
        <w:t>采购单位</w:t>
      </w:r>
      <w:r>
        <w:rPr>
          <w:rFonts w:hint="eastAsia" w:ascii="仿宋_GB2312" w:hAnsi="仿宋_GB2312" w:eastAsia="仿宋_GB2312" w:cs="仿宋_GB2312"/>
          <w:bCs/>
          <w:sz w:val="24"/>
          <w:szCs w:val="24"/>
          <w:highlight w:val="none"/>
        </w:rPr>
        <w:t>有权不予接收受理。</w:t>
      </w:r>
    </w:p>
    <w:p w14:paraId="15BD9791">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22.磋商项目行政监督部门</w:t>
      </w:r>
    </w:p>
    <w:p w14:paraId="2437D80E">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22.1磋商项目行政监督部门可视情况依法派员对本磋商活动的全程进行监督。</w:t>
      </w:r>
    </w:p>
    <w:p w14:paraId="78ABCE48">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22.2磋商投标人如对磋商活动有异议，可以按照有关规定向磋商投标人须知前附表第15项所述磋商项目行政监督部门投诉。</w:t>
      </w:r>
    </w:p>
    <w:bookmarkEnd w:id="10"/>
    <w:p w14:paraId="6E71B631">
      <w:pPr>
        <w:pStyle w:val="3"/>
        <w:numPr>
          <w:ilvl w:val="0"/>
          <w:numId w:val="7"/>
        </w:numPr>
        <w:bidi w:val="0"/>
        <w:jc w:val="center"/>
        <w:rPr>
          <w:rFonts w:hint="eastAsia"/>
          <w:sz w:val="32"/>
          <w:szCs w:val="32"/>
          <w:highlight w:val="none"/>
        </w:rPr>
      </w:pPr>
      <w:bookmarkStart w:id="39" w:name="_Toc464029173"/>
      <w:bookmarkStart w:id="40" w:name="_Toc490059893"/>
      <w:r>
        <w:rPr>
          <w:rFonts w:hint="eastAsia"/>
          <w:sz w:val="32"/>
          <w:szCs w:val="32"/>
          <w:highlight w:val="none"/>
          <w:lang w:val="en-US" w:eastAsia="zh-CN"/>
        </w:rPr>
        <w:t xml:space="preserve">  </w:t>
      </w:r>
      <w:bookmarkStart w:id="41" w:name="_Toc26499"/>
      <w:r>
        <w:rPr>
          <w:rFonts w:hint="eastAsia"/>
          <w:sz w:val="32"/>
          <w:szCs w:val="32"/>
          <w:highlight w:val="none"/>
        </w:rPr>
        <w:t>磋商内容与技术要求</w:t>
      </w:r>
      <w:bookmarkEnd w:id="39"/>
      <w:bookmarkEnd w:id="41"/>
    </w:p>
    <w:p w14:paraId="2717582D">
      <w:pPr>
        <w:numPr>
          <w:ilvl w:val="0"/>
          <w:numId w:val="0"/>
        </w:numPr>
        <w:rPr>
          <w:highlight w:val="none"/>
        </w:rPr>
      </w:pPr>
    </w:p>
    <w:bookmarkEnd w:id="40"/>
    <w:p w14:paraId="0D48847B">
      <w:pPr>
        <w:pStyle w:val="4"/>
        <w:bidi w:val="0"/>
        <w:rPr>
          <w:rFonts w:hint="eastAsia"/>
          <w:highlight w:val="none"/>
          <w:lang w:val="en-US" w:eastAsia="zh-CN"/>
        </w:rPr>
      </w:pPr>
      <w:r>
        <w:rPr>
          <w:rFonts w:hint="eastAsia"/>
          <w:highlight w:val="none"/>
          <w:lang w:val="en-US" w:eastAsia="zh-CN"/>
        </w:rPr>
        <w:t>一、</w:t>
      </w:r>
      <w:r>
        <w:rPr>
          <w:rFonts w:hint="eastAsia"/>
          <w:highlight w:val="none"/>
        </w:rPr>
        <w:t>项目</w:t>
      </w:r>
      <w:r>
        <w:rPr>
          <w:rFonts w:hint="eastAsia"/>
          <w:highlight w:val="none"/>
          <w:lang w:val="en-US" w:eastAsia="zh-CN"/>
        </w:rPr>
        <w:t>概況</w:t>
      </w:r>
    </w:p>
    <w:p w14:paraId="1C8C660C">
      <w:pPr>
        <w:pStyle w:val="4"/>
        <w:bidi w:val="0"/>
        <w:rPr>
          <w:rFonts w:hint="eastAsia"/>
          <w:highlight w:val="none"/>
          <w:lang w:eastAsia="zh-CN"/>
        </w:rPr>
      </w:pPr>
      <w:r>
        <w:rPr>
          <w:rFonts w:hint="eastAsia"/>
          <w:highlight w:val="none"/>
          <w:lang w:eastAsia="zh-CN"/>
        </w:rPr>
        <w:t>（一）</w:t>
      </w:r>
      <w:r>
        <w:rPr>
          <w:rFonts w:hint="eastAsia"/>
          <w:highlight w:val="none"/>
        </w:rPr>
        <w:t>采购清单</w:t>
      </w:r>
    </w:p>
    <w:tbl>
      <w:tblPr>
        <w:tblStyle w:val="21"/>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2654"/>
        <w:gridCol w:w="5135"/>
      </w:tblGrid>
      <w:tr w14:paraId="19C3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tblHeader/>
        </w:trPr>
        <w:tc>
          <w:tcPr>
            <w:tcW w:w="1129" w:type="dxa"/>
            <w:noWrap w:val="0"/>
            <w:tcMar>
              <w:top w:w="8" w:type="dxa"/>
              <w:left w:w="8" w:type="dxa"/>
              <w:bottom w:w="0" w:type="dxa"/>
              <w:right w:w="8" w:type="dxa"/>
            </w:tcMar>
            <w:vAlign w:val="center"/>
          </w:tcPr>
          <w:p w14:paraId="61E09F94">
            <w:pPr>
              <w:widowControl/>
              <w:ind w:left="0" w:leftChars="0" w:firstLine="0" w:firstLineChars="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序号</w:t>
            </w:r>
          </w:p>
        </w:tc>
        <w:tc>
          <w:tcPr>
            <w:tcW w:w="2654" w:type="dxa"/>
            <w:noWrap w:val="0"/>
            <w:tcMar>
              <w:top w:w="8" w:type="dxa"/>
              <w:left w:w="8" w:type="dxa"/>
              <w:bottom w:w="0" w:type="dxa"/>
              <w:right w:w="8" w:type="dxa"/>
            </w:tcMar>
            <w:vAlign w:val="center"/>
          </w:tcPr>
          <w:p w14:paraId="4C820153">
            <w:pPr>
              <w:widowControl/>
              <w:ind w:left="0" w:leftChars="0" w:firstLine="0" w:firstLineChars="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名称</w:t>
            </w:r>
          </w:p>
        </w:tc>
        <w:tc>
          <w:tcPr>
            <w:tcW w:w="5135" w:type="dxa"/>
            <w:noWrap w:val="0"/>
            <w:tcMar>
              <w:top w:w="8" w:type="dxa"/>
              <w:left w:w="8" w:type="dxa"/>
              <w:bottom w:w="0" w:type="dxa"/>
              <w:right w:w="8" w:type="dxa"/>
            </w:tcMar>
            <w:vAlign w:val="center"/>
          </w:tcPr>
          <w:p w14:paraId="748DB2A2">
            <w:pPr>
              <w:widowControl/>
              <w:ind w:left="0" w:leftChars="0" w:firstLine="0" w:firstLineChars="0"/>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数量</w:t>
            </w:r>
          </w:p>
        </w:tc>
      </w:tr>
      <w:tr w14:paraId="3B95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trPr>
        <w:tc>
          <w:tcPr>
            <w:tcW w:w="1129" w:type="dxa"/>
            <w:noWrap w:val="0"/>
            <w:tcMar>
              <w:top w:w="8" w:type="dxa"/>
              <w:left w:w="8" w:type="dxa"/>
              <w:bottom w:w="0" w:type="dxa"/>
              <w:right w:w="8" w:type="dxa"/>
            </w:tcMar>
            <w:vAlign w:val="center"/>
          </w:tcPr>
          <w:p w14:paraId="3FC5AFB1">
            <w:pPr>
              <w:widowControl/>
              <w:ind w:left="0" w:leftChars="0" w:firstLine="0" w:firstLineChars="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w:t>
            </w:r>
          </w:p>
        </w:tc>
        <w:tc>
          <w:tcPr>
            <w:tcW w:w="2654" w:type="dxa"/>
            <w:noWrap w:val="0"/>
            <w:vAlign w:val="center"/>
          </w:tcPr>
          <w:p w14:paraId="04FB17A6">
            <w:pPr>
              <w:widowControl/>
              <w:ind w:left="0" w:leftChars="0" w:firstLine="0" w:firstLineChars="0"/>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园区智慧党建系统</w:t>
            </w:r>
          </w:p>
          <w:p w14:paraId="5F04BAFB">
            <w:pPr>
              <w:widowControl/>
              <w:ind w:left="0" w:leftChars="0" w:firstLine="0" w:firstLineChars="0"/>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（后台管理系统）</w:t>
            </w:r>
          </w:p>
        </w:tc>
        <w:tc>
          <w:tcPr>
            <w:tcW w:w="5135" w:type="dxa"/>
            <w:noWrap w:val="0"/>
            <w:tcMar>
              <w:top w:w="8" w:type="dxa"/>
              <w:left w:w="8" w:type="dxa"/>
              <w:bottom w:w="0" w:type="dxa"/>
              <w:right w:w="8" w:type="dxa"/>
            </w:tcMar>
            <w:vAlign w:val="center"/>
          </w:tcPr>
          <w:p w14:paraId="1DA1DB1A">
            <w:pPr>
              <w:widowControl/>
              <w:ind w:left="0" w:leftChars="0" w:firstLine="0" w:firstLineChars="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1套</w:t>
            </w:r>
          </w:p>
        </w:tc>
      </w:tr>
      <w:tr w14:paraId="7E41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trPr>
        <w:tc>
          <w:tcPr>
            <w:tcW w:w="1129" w:type="dxa"/>
            <w:noWrap w:val="0"/>
            <w:tcMar>
              <w:top w:w="8" w:type="dxa"/>
              <w:left w:w="8" w:type="dxa"/>
              <w:bottom w:w="0" w:type="dxa"/>
              <w:right w:w="8" w:type="dxa"/>
            </w:tcMar>
            <w:vAlign w:val="center"/>
          </w:tcPr>
          <w:p w14:paraId="347AFFB8">
            <w:pPr>
              <w:widowControl/>
              <w:ind w:left="0" w:leftChars="0" w:firstLine="0" w:firstLineChars="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p>
        </w:tc>
        <w:tc>
          <w:tcPr>
            <w:tcW w:w="2654" w:type="dxa"/>
            <w:noWrap w:val="0"/>
            <w:vAlign w:val="center"/>
          </w:tcPr>
          <w:p w14:paraId="054F6862">
            <w:pPr>
              <w:widowControl/>
              <w:ind w:left="0" w:leftChars="0" w:firstLine="0" w:firstLineChars="0"/>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园区智慧党建小程序</w:t>
            </w:r>
          </w:p>
        </w:tc>
        <w:tc>
          <w:tcPr>
            <w:tcW w:w="5135" w:type="dxa"/>
            <w:noWrap w:val="0"/>
            <w:tcMar>
              <w:top w:w="8" w:type="dxa"/>
              <w:left w:w="8" w:type="dxa"/>
              <w:bottom w:w="0" w:type="dxa"/>
              <w:right w:w="8" w:type="dxa"/>
            </w:tcMar>
            <w:vAlign w:val="center"/>
          </w:tcPr>
          <w:p w14:paraId="735FCF6F">
            <w:pPr>
              <w:widowControl/>
              <w:ind w:left="0" w:leftChars="0" w:firstLine="0" w:firstLineChars="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1套</w:t>
            </w:r>
          </w:p>
        </w:tc>
      </w:tr>
      <w:tr w14:paraId="2BD4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trPr>
        <w:tc>
          <w:tcPr>
            <w:tcW w:w="1129" w:type="dxa"/>
            <w:noWrap w:val="0"/>
            <w:tcMar>
              <w:top w:w="8" w:type="dxa"/>
              <w:left w:w="8" w:type="dxa"/>
              <w:bottom w:w="0" w:type="dxa"/>
              <w:right w:w="8" w:type="dxa"/>
            </w:tcMar>
            <w:vAlign w:val="center"/>
          </w:tcPr>
          <w:p w14:paraId="67846048">
            <w:pPr>
              <w:widowControl/>
              <w:ind w:left="0" w:leftChars="0" w:firstLine="0" w:firstLineChars="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w:t>
            </w:r>
          </w:p>
        </w:tc>
        <w:tc>
          <w:tcPr>
            <w:tcW w:w="2654" w:type="dxa"/>
            <w:noWrap w:val="0"/>
            <w:vAlign w:val="center"/>
          </w:tcPr>
          <w:p w14:paraId="70835671">
            <w:pPr>
              <w:widowControl/>
              <w:ind w:left="0" w:leftChars="0" w:firstLine="0" w:firstLineChars="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园区企业服务系统小程序</w:t>
            </w:r>
          </w:p>
        </w:tc>
        <w:tc>
          <w:tcPr>
            <w:tcW w:w="5135" w:type="dxa"/>
            <w:noWrap w:val="0"/>
            <w:tcMar>
              <w:top w:w="8" w:type="dxa"/>
              <w:left w:w="8" w:type="dxa"/>
              <w:bottom w:w="0" w:type="dxa"/>
              <w:right w:w="8" w:type="dxa"/>
            </w:tcMar>
            <w:vAlign w:val="center"/>
          </w:tcPr>
          <w:p w14:paraId="17BBDD65">
            <w:pPr>
              <w:widowControl/>
              <w:ind w:left="0" w:leftChars="0" w:firstLine="0" w:firstLineChars="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1套</w:t>
            </w:r>
          </w:p>
        </w:tc>
      </w:tr>
    </w:tbl>
    <w:p w14:paraId="482901E5">
      <w:pPr>
        <w:pStyle w:val="4"/>
        <w:bidi w:val="0"/>
        <w:ind w:firstLine="0"/>
        <w:rPr>
          <w:rFonts w:hint="eastAsia" w:ascii="Arial" w:hAnsi="Arial" w:cs="Times New Roman"/>
          <w:highlight w:val="none"/>
          <w:lang w:val="en-US" w:eastAsia="zh-CN"/>
        </w:rPr>
      </w:pPr>
      <w:r>
        <w:rPr>
          <w:rFonts w:hint="eastAsia" w:ascii="Arial" w:hAnsi="Arial" w:cs="Times New Roman"/>
          <w:highlight w:val="none"/>
          <w:lang w:eastAsia="zh-CN"/>
        </w:rPr>
        <w:t>（</w:t>
      </w:r>
      <w:r>
        <w:rPr>
          <w:rFonts w:hint="eastAsia" w:ascii="Arial" w:hAnsi="Arial" w:cs="Times New Roman"/>
          <w:highlight w:val="none"/>
          <w:lang w:val="en-US" w:eastAsia="zh-CN"/>
        </w:rPr>
        <w:t>二</w:t>
      </w:r>
      <w:r>
        <w:rPr>
          <w:rFonts w:hint="eastAsia" w:ascii="Arial" w:hAnsi="Arial" w:cs="Times New Roman"/>
          <w:highlight w:val="none"/>
          <w:lang w:eastAsia="zh-CN"/>
        </w:rPr>
        <w:t>）</w:t>
      </w:r>
      <w:r>
        <w:rPr>
          <w:rFonts w:hint="eastAsia" w:ascii="Arial" w:hAnsi="Arial" w:cs="Times New Roman"/>
          <w:highlight w:val="none"/>
          <w:lang w:val="en-US" w:eastAsia="zh-CN"/>
        </w:rPr>
        <w:t>报价要求</w:t>
      </w:r>
    </w:p>
    <w:p w14:paraId="270A64D2">
      <w:pPr>
        <w:tabs>
          <w:tab w:val="left" w:pos="425"/>
        </w:tabs>
        <w:spacing w:line="360" w:lineRule="auto"/>
        <w:ind w:firstLine="426" w:firstLineChars="177"/>
        <w:jc w:val="left"/>
        <w:rPr>
          <w:rFonts w:hint="eastAsia"/>
          <w:highlight w:val="none"/>
          <w:lang w:eastAsia="zh-CN"/>
        </w:rPr>
      </w:pPr>
      <w:r>
        <w:rPr>
          <w:rFonts w:hint="eastAsia" w:ascii="宋体" w:hAnsi="宋体" w:eastAsia="宋体" w:cs="宋体"/>
          <w:b/>
          <w:bCs/>
          <w:color w:val="262626" w:themeColor="text1" w:themeTint="D9"/>
          <w:sz w:val="24"/>
          <w:szCs w:val="24"/>
          <w:highlight w:val="none"/>
          <w:lang w:eastAsia="zh-CN"/>
          <w14:textFill>
            <w14:solidFill>
              <w14:schemeClr w14:val="tx1">
                <w14:lumMod w14:val="85000"/>
                <w14:lumOff w14:val="15000"/>
              </w14:schemeClr>
            </w14:solidFill>
          </w14:textFill>
        </w:rPr>
        <w:t>（</w:t>
      </w:r>
      <w:r>
        <w:rPr>
          <w:rFonts w:hint="eastAsia" w:ascii="宋体" w:hAnsi="宋体" w:eastAsia="宋体" w:cs="宋体"/>
          <w:b/>
          <w:bCs/>
          <w:color w:val="262626" w:themeColor="text1" w:themeTint="D9"/>
          <w:sz w:val="24"/>
          <w:szCs w:val="24"/>
          <w:highlight w:val="none"/>
          <w:lang w:val="en-US" w:eastAsia="zh-CN"/>
          <w14:textFill>
            <w14:solidFill>
              <w14:schemeClr w14:val="tx1">
                <w14:lumMod w14:val="85000"/>
                <w14:lumOff w14:val="15000"/>
              </w14:schemeClr>
            </w14:solidFill>
          </w14:textFill>
        </w:rPr>
        <w:t>1</w:t>
      </w:r>
      <w:r>
        <w:rPr>
          <w:rFonts w:hint="eastAsia" w:ascii="宋体" w:hAnsi="宋体" w:eastAsia="宋体" w:cs="宋体"/>
          <w:b/>
          <w:bCs/>
          <w:color w:val="262626" w:themeColor="text1" w:themeTint="D9"/>
          <w:sz w:val="24"/>
          <w:szCs w:val="24"/>
          <w:highlight w:val="none"/>
          <w:lang w:eastAsia="zh-CN"/>
          <w14:textFill>
            <w14:solidFill>
              <w14:schemeClr w14:val="tx1">
                <w14:lumMod w14:val="85000"/>
                <w14:lumOff w14:val="15000"/>
              </w14:schemeClr>
            </w14:solidFill>
          </w14:textFill>
        </w:rPr>
        <w:t>）</w:t>
      </w:r>
      <w:r>
        <w:rPr>
          <w:rFonts w:hint="eastAsia" w:ascii="宋体" w:hAnsi="宋体" w:eastAsia="宋体" w:cs="宋体"/>
          <w:b/>
          <w:bCs/>
          <w:color w:val="262626" w:themeColor="text1" w:themeTint="D9"/>
          <w:sz w:val="24"/>
          <w:szCs w:val="24"/>
          <w:highlight w:val="none"/>
          <w14:textFill>
            <w14:solidFill>
              <w14:schemeClr w14:val="tx1">
                <w14:lumMod w14:val="85000"/>
                <w14:lumOff w14:val="15000"/>
              </w14:schemeClr>
            </w14:solidFill>
          </w14:textFill>
        </w:rPr>
        <w:t>各投标</w:t>
      </w:r>
      <w:r>
        <w:rPr>
          <w:rFonts w:hint="eastAsia" w:ascii="宋体" w:hAnsi="宋体" w:eastAsia="宋体" w:cs="宋体"/>
          <w:b/>
          <w:bCs/>
          <w:color w:val="262626" w:themeColor="text1" w:themeTint="D9"/>
          <w:sz w:val="24"/>
          <w:szCs w:val="24"/>
          <w:highlight w:val="none"/>
          <w:lang w:val="en-US" w:eastAsia="zh-CN"/>
          <w14:textFill>
            <w14:solidFill>
              <w14:schemeClr w14:val="tx1">
                <w14:lumMod w14:val="85000"/>
                <w14:lumOff w14:val="15000"/>
              </w14:schemeClr>
            </w14:solidFill>
          </w14:textFill>
        </w:rPr>
        <w:t>供应商</w:t>
      </w:r>
      <w:r>
        <w:rPr>
          <w:rFonts w:hint="eastAsia" w:ascii="宋体" w:hAnsi="宋体" w:eastAsia="宋体" w:cs="宋体"/>
          <w:b/>
          <w:bCs/>
          <w:color w:val="262626" w:themeColor="text1" w:themeTint="D9"/>
          <w:sz w:val="24"/>
          <w:szCs w:val="24"/>
          <w:highlight w:val="none"/>
          <w14:textFill>
            <w14:solidFill>
              <w14:schemeClr w14:val="tx1">
                <w14:lumMod w14:val="85000"/>
                <w14:lumOff w14:val="15000"/>
              </w14:schemeClr>
            </w14:solidFill>
          </w14:textFill>
        </w:rPr>
        <w:t>根据</w:t>
      </w:r>
      <w:r>
        <w:rPr>
          <w:rFonts w:hint="eastAsia" w:ascii="宋体" w:hAnsi="宋体" w:eastAsia="宋体" w:cs="宋体"/>
          <w:b/>
          <w:bCs/>
          <w:color w:val="262626" w:themeColor="text1" w:themeTint="D9"/>
          <w:sz w:val="24"/>
          <w:szCs w:val="24"/>
          <w:highlight w:val="none"/>
          <w:lang w:val="en-US" w:eastAsia="zh-CN"/>
          <w14:textFill>
            <w14:solidFill>
              <w14:schemeClr w14:val="tx1">
                <w14:lumMod w14:val="85000"/>
                <w14:lumOff w14:val="15000"/>
              </w14:schemeClr>
            </w14:solidFill>
          </w14:textFill>
        </w:rPr>
        <w:t>预算明细</w:t>
      </w:r>
      <w:r>
        <w:rPr>
          <w:rFonts w:hint="eastAsia" w:ascii="宋体" w:hAnsi="宋体" w:eastAsia="宋体" w:cs="宋体"/>
          <w:b/>
          <w:bCs/>
          <w:color w:val="262626" w:themeColor="text1" w:themeTint="D9"/>
          <w:sz w:val="24"/>
          <w:szCs w:val="24"/>
          <w:highlight w:val="none"/>
          <w14:textFill>
            <w14:solidFill>
              <w14:schemeClr w14:val="tx1">
                <w14:lumMod w14:val="85000"/>
                <w14:lumOff w14:val="15000"/>
              </w14:schemeClr>
            </w14:solidFill>
          </w14:textFill>
        </w:rPr>
        <w:t>投报投标总价</w:t>
      </w:r>
      <w:r>
        <w:rPr>
          <w:rFonts w:hint="eastAsia" w:ascii="宋体" w:hAnsi="宋体" w:eastAsia="宋体" w:cs="宋体"/>
          <w:b/>
          <w:bCs/>
          <w:color w:val="262626" w:themeColor="text1" w:themeTint="D9"/>
          <w:sz w:val="24"/>
          <w:szCs w:val="24"/>
          <w:highlight w:val="none"/>
          <w:lang w:eastAsia="zh-CN"/>
          <w14:textFill>
            <w14:solidFill>
              <w14:schemeClr w14:val="tx1">
                <w14:lumMod w14:val="85000"/>
                <w14:lumOff w14:val="15000"/>
              </w14:schemeClr>
            </w14:solidFill>
          </w14:textFill>
        </w:rPr>
        <w:t>，</w:t>
      </w:r>
      <w:r>
        <w:rPr>
          <w:rFonts w:hint="eastAsia" w:ascii="宋体" w:hAnsi="宋体" w:eastAsia="宋体" w:cs="宋体"/>
          <w:b/>
          <w:bCs/>
          <w:color w:val="262626" w:themeColor="text1" w:themeTint="D9"/>
          <w:sz w:val="24"/>
          <w:szCs w:val="24"/>
          <w:highlight w:val="none"/>
          <w14:textFill>
            <w14:solidFill>
              <w14:schemeClr w14:val="tx1">
                <w14:lumMod w14:val="85000"/>
                <w14:lumOff w14:val="15000"/>
              </w14:schemeClr>
            </w14:solidFill>
          </w14:textFill>
        </w:rPr>
        <w:t>投标总价均不得超过</w:t>
      </w:r>
      <w:r>
        <w:rPr>
          <w:rFonts w:hint="eastAsia" w:ascii="宋体" w:hAnsi="宋体" w:eastAsia="宋体" w:cs="宋体"/>
          <w:b/>
          <w:bCs/>
          <w:color w:val="262626" w:themeColor="text1" w:themeTint="D9"/>
          <w:sz w:val="24"/>
          <w:szCs w:val="24"/>
          <w:highlight w:val="none"/>
          <w:lang w:eastAsia="zh-CN"/>
          <w14:textFill>
            <w14:solidFill>
              <w14:schemeClr w14:val="tx1">
                <w14:lumMod w14:val="85000"/>
                <w14:lumOff w14:val="15000"/>
              </w14:schemeClr>
            </w14:solidFill>
          </w14:textFill>
        </w:rPr>
        <w:t>合同包</w:t>
      </w:r>
      <w:r>
        <w:rPr>
          <w:rFonts w:hint="eastAsia" w:ascii="宋体" w:hAnsi="宋体" w:eastAsia="宋体" w:cs="宋体"/>
          <w:b/>
          <w:bCs/>
          <w:color w:val="262626" w:themeColor="text1" w:themeTint="D9"/>
          <w:sz w:val="24"/>
          <w:szCs w:val="24"/>
          <w:highlight w:val="none"/>
          <w14:textFill>
            <w14:solidFill>
              <w14:schemeClr w14:val="tx1">
                <w14:lumMod w14:val="85000"/>
                <w14:lumOff w14:val="15000"/>
              </w14:schemeClr>
            </w14:solidFill>
          </w14:textFill>
        </w:rPr>
        <w:t>预算</w:t>
      </w:r>
      <w:r>
        <w:rPr>
          <w:rFonts w:hint="eastAsia" w:ascii="宋体" w:hAnsi="宋体" w:eastAsia="宋体" w:cs="宋体"/>
          <w:b/>
          <w:bCs/>
          <w:color w:val="262626" w:themeColor="text1" w:themeTint="D9"/>
          <w:sz w:val="24"/>
          <w:szCs w:val="24"/>
          <w:highlight w:val="none"/>
          <w:lang w:eastAsia="zh-CN"/>
          <w14:textFill>
            <w14:solidFill>
              <w14:schemeClr w14:val="tx1">
                <w14:lumMod w14:val="85000"/>
                <w14:lumOff w14:val="15000"/>
              </w14:schemeClr>
            </w14:solidFill>
          </w14:textFill>
        </w:rPr>
        <w:t>金额。否则视为无效投标。</w:t>
      </w:r>
      <w:r>
        <w:rPr>
          <w:rFonts w:hint="eastAsia" w:ascii="仿宋_GB2312" w:hAnsi="仿宋_GB2312" w:eastAsia="仿宋_GB2312" w:cs="仿宋_GB2312"/>
          <w:color w:val="auto"/>
          <w:sz w:val="24"/>
          <w:szCs w:val="24"/>
          <w:highlight w:val="none"/>
          <w:u w:val="none"/>
          <w:shd w:val="clear" w:color="auto" w:fill="auto"/>
        </w:rPr>
        <w:t>此合同金额包含</w:t>
      </w:r>
      <w:r>
        <w:rPr>
          <w:rFonts w:hint="eastAsia" w:ascii="仿宋_GB2312" w:hAnsi="仿宋_GB2312" w:eastAsia="仿宋_GB2312" w:cs="仿宋_GB2312"/>
          <w:color w:val="auto"/>
          <w:sz w:val="24"/>
          <w:szCs w:val="24"/>
          <w:highlight w:val="none"/>
          <w:u w:val="none"/>
          <w:shd w:val="clear" w:color="auto" w:fill="auto"/>
          <w:lang w:val="en-US" w:eastAsia="zh-CN"/>
        </w:rPr>
        <w:t>报价人</w:t>
      </w:r>
      <w:r>
        <w:rPr>
          <w:rFonts w:hint="eastAsia" w:ascii="仿宋_GB2312" w:hAnsi="仿宋_GB2312" w:eastAsia="仿宋_GB2312" w:cs="仿宋_GB2312"/>
          <w:color w:val="auto"/>
          <w:sz w:val="24"/>
          <w:szCs w:val="24"/>
          <w:highlight w:val="none"/>
          <w:u w:val="none"/>
          <w:shd w:val="clear" w:color="auto" w:fill="auto"/>
        </w:rPr>
        <w:t>完成项目所需的全部相关费用。即:设备费、软件费、税费、运输费、装卸费、安装费、人工费、保险费、安装建设辅助材料及工具费、施工费、施工复原费(如有)、土建费、调试费、培训费、售后服务费、技术(系统集成等)服务费等。质保期对本项目所有软硬件提供质保服务，费用包含在本项目内，采购人不再额外支付。</w:t>
      </w:r>
    </w:p>
    <w:p w14:paraId="0A32D527">
      <w:pPr>
        <w:pStyle w:val="4"/>
        <w:bidi w:val="0"/>
        <w:rPr>
          <w:rFonts w:hint="eastAsia"/>
          <w:highlight w:val="none"/>
          <w:lang w:eastAsia="zh-CN"/>
        </w:rPr>
      </w:pPr>
      <w:r>
        <w:rPr>
          <w:rFonts w:hint="eastAsia"/>
          <w:highlight w:val="none"/>
        </w:rPr>
        <w:t>二、技术要求</w:t>
      </w:r>
    </w:p>
    <w:p w14:paraId="1CF3AAA8">
      <w:pPr>
        <w:pStyle w:val="4"/>
        <w:bidi w:val="0"/>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技术</w:t>
      </w:r>
      <w:r>
        <w:rPr>
          <w:rFonts w:hint="eastAsia"/>
          <w:highlight w:val="none"/>
        </w:rPr>
        <w:t>参数要求</w:t>
      </w:r>
    </w:p>
    <w:p w14:paraId="1B6BD6EC">
      <w:pPr>
        <w:pStyle w:val="5"/>
        <w:bidi w:val="0"/>
        <w:rPr>
          <w:rFonts w:hint="eastAsia"/>
          <w:highlight w:val="none"/>
        </w:rPr>
      </w:pPr>
      <w:r>
        <w:rPr>
          <w:rFonts w:hint="eastAsia"/>
          <w:highlight w:val="none"/>
          <w:lang w:val="en-US" w:eastAsia="zh-CN"/>
        </w:rPr>
        <w:t>1、</w:t>
      </w:r>
      <w:r>
        <w:rPr>
          <w:rFonts w:hint="eastAsia"/>
          <w:highlight w:val="none"/>
          <w:lang w:eastAsia="zh-CN"/>
        </w:rPr>
        <w:t>园区智慧党建系统（后台管理系统）</w:t>
      </w:r>
    </w:p>
    <w:p w14:paraId="73DBB6CE">
      <w:pPr>
        <w:pStyle w:val="6"/>
        <w:keepNext/>
        <w:keepLines/>
        <w:pageBreakBefore w:val="0"/>
        <w:widowControl w:val="0"/>
        <w:kinsoku/>
        <w:wordWrap/>
        <w:overflowPunct/>
        <w:topLinePunct w:val="0"/>
        <w:autoSpaceDE/>
        <w:autoSpaceDN/>
        <w:bidi w:val="0"/>
        <w:adjustRightInd/>
        <w:snapToGrid/>
        <w:spacing w:line="240" w:lineRule="auto"/>
        <w:textAlignment w:val="auto"/>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rPr>
        <w:t>首页</w:t>
      </w:r>
    </w:p>
    <w:p w14:paraId="786395BC">
      <w:pPr>
        <w:bidi w:val="0"/>
        <w:ind w:left="0" w:leftChars="0" w:firstLine="0" w:firstLineChars="0"/>
        <w:rPr>
          <w:rFonts w:hint="eastAsia"/>
          <w:sz w:val="24"/>
          <w:szCs w:val="24"/>
          <w:highlight w:val="none"/>
        </w:rPr>
      </w:pPr>
      <w:r>
        <w:rPr>
          <w:rFonts w:hint="eastAsia"/>
          <w:sz w:val="24"/>
          <w:szCs w:val="24"/>
          <w:highlight w:val="none"/>
          <w:lang w:val="en-US" w:eastAsia="zh-CN"/>
        </w:rPr>
        <w:t>1</w:t>
      </w:r>
      <w:r>
        <w:rPr>
          <w:rFonts w:hint="eastAsia"/>
          <w:sz w:val="24"/>
          <w:szCs w:val="24"/>
          <w:highlight w:val="none"/>
          <w:lang w:eastAsia="zh-CN"/>
        </w:rPr>
        <w:t>）</w:t>
      </w:r>
      <w:r>
        <w:rPr>
          <w:rFonts w:hint="eastAsia" w:ascii="仿宋_GB2312" w:hAnsi="仿宋_GB2312" w:eastAsia="仿宋_GB2312" w:cs="仿宋_GB2312"/>
          <w:sz w:val="24"/>
          <w:szCs w:val="24"/>
          <w:highlight w:val="none"/>
        </w:rPr>
        <w:t>通知公告</w:t>
      </w:r>
    </w:p>
    <w:p w14:paraId="0EA91EC2">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通知发布</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用于发布党组织的重要通知、会议安排等。</w:t>
      </w:r>
    </w:p>
    <w:p w14:paraId="33DD024B">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公告管理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用于管理已发布的公告，包括查看、编辑、删除等操作。</w:t>
      </w:r>
    </w:p>
    <w:p w14:paraId="3ADB8E6C">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通知提醒</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提供通知提醒功能，方便党员及时了解重要通知。</w:t>
      </w:r>
    </w:p>
    <w:p w14:paraId="00B152A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sz w:val="24"/>
          <w:szCs w:val="24"/>
          <w:highlight w:val="none"/>
        </w:rPr>
        <w:t>党建动态</w:t>
      </w:r>
    </w:p>
    <w:p w14:paraId="625874DB">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动态发布</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用于发布党组织的重要动态、活动通知等。可新增、编辑、删除、查看。</w:t>
      </w:r>
    </w:p>
    <w:p w14:paraId="1C0F3B3A">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动态列表</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展示党组织的最新动态，包括上级党组织的重要指示、领导讲话等。可进行查看。</w:t>
      </w:r>
    </w:p>
    <w:p w14:paraId="1FC1FE56">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图片及视频展示</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展示党组织开展的各类活动照片及视频，增加动态的真实感和视觉效果。</w:t>
      </w:r>
    </w:p>
    <w:p w14:paraId="4A4481E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党建资讯</w:t>
      </w:r>
    </w:p>
    <w:p w14:paraId="3CE9A678">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资讯管理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由管理员或专员发布最新的政策法规，可进行增删改查操作</w:t>
      </w:r>
    </w:p>
    <w:p w14:paraId="22655510">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资讯列表</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查看相关党建资讯，帮助党员了解最新方针政策，提高党员的政治素质和思想觉悟。</w:t>
      </w:r>
    </w:p>
    <w:p w14:paraId="0B6EA381">
      <w:pPr>
        <w:pStyle w:val="6"/>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rPr>
        <w:t>个人中心</w:t>
      </w:r>
    </w:p>
    <w:p w14:paraId="0FF01B46">
      <w:pPr>
        <w:bidi w:val="0"/>
        <w:ind w:left="0" w:leftChars="0" w:firstLine="0" w:firstLineChars="0"/>
        <w:rPr>
          <w:rFonts w:hint="eastAsia" w:ascii="仿宋_GB2312" w:hAnsi="仿宋_GB2312" w:eastAsia="仿宋_GB2312" w:cs="仿宋_GB2312"/>
          <w:sz w:val="24"/>
          <w:szCs w:val="24"/>
          <w:highlight w:val="none"/>
        </w:rPr>
      </w:pPr>
      <w:r>
        <w:rPr>
          <w:rFonts w:hint="eastAsia"/>
          <w:sz w:val="24"/>
          <w:szCs w:val="24"/>
          <w:highlight w:val="none"/>
          <w:lang w:val="en-US" w:eastAsia="zh-CN"/>
        </w:rPr>
        <w:t>1</w:t>
      </w:r>
      <w:r>
        <w:rPr>
          <w:rFonts w:hint="eastAsia"/>
          <w:sz w:val="24"/>
          <w:szCs w:val="24"/>
          <w:highlight w:val="none"/>
          <w:lang w:eastAsia="zh-CN"/>
        </w:rPr>
        <w:t>）</w:t>
      </w:r>
      <w:r>
        <w:rPr>
          <w:rFonts w:hint="eastAsia" w:ascii="仿宋_GB2312" w:hAnsi="仿宋_GB2312" w:eastAsia="仿宋_GB2312" w:cs="仿宋_GB2312"/>
          <w:sz w:val="24"/>
          <w:szCs w:val="24"/>
          <w:highlight w:val="none"/>
        </w:rPr>
        <w:t>个人信息管理</w:t>
      </w:r>
    </w:p>
    <w:p w14:paraId="03C83AD1">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显示个人信息中的非关键信息，可根据用户需求进行修改更新。个人信息包含登录账号的基础信息，包含姓名、性别、入党时间、出生时间、党内职务等信息。可修改密码和退出账号。可进行编辑、查看。</w:t>
      </w:r>
    </w:p>
    <w:p w14:paraId="7280D9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待办事项</w:t>
      </w:r>
    </w:p>
    <w:p w14:paraId="54180ADA">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所有接收到的通知公告列表，可进行确认操作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可查看所有已办事项的列表。</w:t>
      </w:r>
    </w:p>
    <w:p w14:paraId="7A02BFBC">
      <w:pPr>
        <w:pStyle w:val="6"/>
        <w:bidi w:val="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rPr>
        <w:t>党群服务</w:t>
      </w:r>
    </w:p>
    <w:p w14:paraId="69220200">
      <w:pPr>
        <w:bidi w:val="0"/>
        <w:ind w:left="0" w:leftChars="0" w:firstLine="0" w:firstLineChars="0"/>
        <w:rPr>
          <w:rFonts w:hint="eastAsia" w:ascii="仿宋_GB2312" w:hAnsi="仿宋_GB2312" w:eastAsia="仿宋_GB2312" w:cs="仿宋_GB2312"/>
          <w:sz w:val="24"/>
          <w:szCs w:val="24"/>
          <w:highlight w:val="none"/>
          <w:lang w:eastAsia="zh-CN"/>
        </w:rPr>
      </w:pPr>
      <w:r>
        <w:rPr>
          <w:rFonts w:hint="eastAsia"/>
          <w:sz w:val="24"/>
          <w:szCs w:val="24"/>
          <w:highlight w:val="none"/>
          <w:lang w:val="en-US" w:eastAsia="zh-CN"/>
        </w:rPr>
        <w:t>1</w:t>
      </w:r>
      <w:r>
        <w:rPr>
          <w:rFonts w:hint="eastAsia"/>
          <w:sz w:val="24"/>
          <w:szCs w:val="24"/>
          <w:highlight w:val="none"/>
          <w:lang w:eastAsia="zh-CN"/>
        </w:rPr>
        <w:t>）</w:t>
      </w:r>
      <w:r>
        <w:rPr>
          <w:rFonts w:hint="eastAsia" w:ascii="仿宋_GB2312" w:hAnsi="仿宋_GB2312" w:eastAsia="仿宋_GB2312" w:cs="仿宋_GB2312"/>
          <w:sz w:val="24"/>
          <w:szCs w:val="24"/>
          <w:highlight w:val="none"/>
          <w:lang w:eastAsia="zh-CN"/>
        </w:rPr>
        <w:t>随手拍</w:t>
      </w:r>
    </w:p>
    <w:p w14:paraId="30908CA2">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照片上传：党员和群众可以通过该平台上传自己的优秀照片、视频和创意作品，展示自己在基层党组织和党员志愿服务中的实际行动。</w:t>
      </w:r>
    </w:p>
    <w:p w14:paraId="2B00A99E">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作品展示：平台会定期展示优秀的照片、视频和创意作品，通过展示这些作品，鼓励更多的党员和群众参与到党建平台随手拍活动中来。</w:t>
      </w:r>
    </w:p>
    <w:p w14:paraId="724615FA">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互动交流：平台会提供互动交流的功能，增强彼此之间的交流和互动。</w:t>
      </w:r>
    </w:p>
    <w:p w14:paraId="1D5E876F">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统计数据：平台会记录上传的作品数量等数据，帮助组织者了解活动的参与情况，并根据反馈情况对活动进行调整和改进。</w:t>
      </w:r>
    </w:p>
    <w:p w14:paraId="50C983B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sz w:val="24"/>
          <w:szCs w:val="24"/>
          <w:highlight w:val="none"/>
          <w:lang w:eastAsia="zh-CN"/>
        </w:rPr>
        <w:t>微捐赠</w:t>
      </w:r>
    </w:p>
    <w:p w14:paraId="7C381FB5">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捐赠申请：申请捐赠请求，包括捐赠人信息、捐赠物品等信息，并由管理员对捐赠请求进行审核和管理。</w:t>
      </w:r>
    </w:p>
    <w:p w14:paraId="6FAF2D57">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捐赠信息公开：将捐赠信息展示在平台上，方便捐赠人查看和管理捐赠情况，同时也可以向社会公开宣传党务建设和发展成果。</w:t>
      </w:r>
    </w:p>
    <w:p w14:paraId="65EAFFAC">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捐赠查询和统计：提供捐赠查询功能，方便捐赠人查询和管理自己的捐赠记录，同时也可以对捐赠情况进行统计和分析，为党务建设和发展提供数据支持。</w:t>
      </w:r>
    </w:p>
    <w:p w14:paraId="1239218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sz w:val="24"/>
          <w:szCs w:val="24"/>
          <w:highlight w:val="none"/>
          <w:lang w:eastAsia="zh-CN"/>
        </w:rPr>
        <w:t>心愿树</w:t>
      </w:r>
    </w:p>
    <w:p w14:paraId="1BD2D018">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心愿发布：通过心愿树的形式，鼓励党员和群众提出自己的心愿和需求，并将这些心愿和需求发布在平台上，以便其他党员和群众了解和参与。</w:t>
      </w:r>
    </w:p>
    <w:p w14:paraId="778DBEE2">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认领心愿：其他党员或党组织可以根据自身条件和能力，选择认领并承诺完成他人发布的心愿，形成互助合作的良好氛围。</w:t>
      </w:r>
    </w:p>
    <w:p w14:paraId="533EA0D8">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心愿进度跟踪：展示每个心愿从发布到完成的过程。</w:t>
      </w:r>
    </w:p>
    <w:p w14:paraId="6B63FB29">
      <w:pPr>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统计分析：后台记录并分析数据，为优化党建活动、评估党员参与度提供依据。</w:t>
      </w:r>
    </w:p>
    <w:p w14:paraId="21F2E76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eastAsia="zh-CN"/>
        </w:rPr>
        <w:t>任务督办</w:t>
      </w:r>
    </w:p>
    <w:p w14:paraId="53186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任务发布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管理员可以在线发布各项具体工作任务，并明确任务内容、目标要求、完成时间及责任人。</w:t>
      </w:r>
    </w:p>
    <w:p w14:paraId="608133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任务分配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管理员将任务精确地分配给党员，确保每个党员清楚了解自己的责任与任务。</w:t>
      </w:r>
    </w:p>
    <w:p w14:paraId="0CFF5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进度跟踪</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任务发布后，党员需按照要求执行并实时更新任务进展，系统可追踪任务的完成状态，便于管理者及时掌握整体工作进度。</w:t>
      </w:r>
    </w:p>
    <w:p w14:paraId="68428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督办提醒</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期未完成的任务，系统能自动发送督办提醒通知到相关责任人，有效防止工作延误</w:t>
      </w:r>
    </w:p>
    <w:p w14:paraId="2BE72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反馈评价</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任务完成后，上级党组织或任务发起人可以对完成情况进行审核和评价，形成闭环管理机制。</w:t>
      </w:r>
    </w:p>
    <w:p w14:paraId="42D537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数据分析</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通过数据统计分析，展示各支部、党员的任务完成情况，为后续优化工作计划、考核评价提供科学依据。</w:t>
      </w:r>
    </w:p>
    <w:p w14:paraId="48B0CFB1">
      <w:pPr>
        <w:pStyle w:val="6"/>
        <w:bidi w:val="0"/>
        <w:rPr>
          <w:rFonts w:hint="eastAsia" w:cs="Times New Roman"/>
          <w:highlight w:val="none"/>
          <w:lang w:eastAsia="zh-CN"/>
        </w:rPr>
      </w:pPr>
      <w:r>
        <w:rPr>
          <w:rFonts w:hint="eastAsia" w:cs="Times New Roman"/>
          <w:highlight w:val="none"/>
          <w:lang w:eastAsia="zh-CN"/>
        </w:rPr>
        <w:t>（</w:t>
      </w:r>
      <w:r>
        <w:rPr>
          <w:rFonts w:hint="eastAsia" w:cs="Times New Roman"/>
          <w:highlight w:val="none"/>
          <w:lang w:val="en-US" w:eastAsia="zh-CN"/>
        </w:rPr>
        <w:t>4</w:t>
      </w:r>
      <w:r>
        <w:rPr>
          <w:rFonts w:hint="eastAsia" w:cs="Times New Roman"/>
          <w:highlight w:val="none"/>
          <w:lang w:eastAsia="zh-CN"/>
        </w:rPr>
        <w:t>）</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lang w:eastAsia="zh-CN"/>
        </w:rPr>
        <w:t>党员学习</w:t>
      </w:r>
    </w:p>
    <w:p w14:paraId="0EA28A2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lang w:val="en-US" w:eastAsia="zh-CN"/>
        </w:rPr>
        <w:t>党规党章</w:t>
      </w:r>
    </w:p>
    <w:p w14:paraId="1A294D7C">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提供丰富的内容编辑功能，满足复杂文档的编辑。</w:t>
      </w:r>
    </w:p>
    <w:p w14:paraId="262E8F2C">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审核功能：可进行驳回、通过、废弃、下架操作；</w:t>
      </w:r>
    </w:p>
    <w:p w14:paraId="5CF72892">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频道管理功能：按照党建文章性质进行分类，设置不同频道；</w:t>
      </w:r>
    </w:p>
    <w:p w14:paraId="4D739E74">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标签管理功能：按文章类别添加不同的标签，方便查找。</w:t>
      </w:r>
    </w:p>
    <w:p w14:paraId="2915713B">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文章检索功能：具备文章检索功能；</w:t>
      </w:r>
    </w:p>
    <w:p w14:paraId="64E791F8">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文章置顶功能：可置顶指定文章，并且可以设置置顶文章的排列次序。</w:t>
      </w:r>
    </w:p>
    <w:p w14:paraId="12D3DB4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制度汇编</w:t>
      </w:r>
    </w:p>
    <w:p w14:paraId="59C369CF">
      <w:pPr>
        <w:pStyle w:val="10"/>
        <w:ind w:left="479" w:leftChars="228" w:firstLine="0" w:firstLineChars="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提供丰富的内容编辑功能，满足复杂文档的编辑。</w:t>
      </w:r>
      <w:r>
        <w:rPr>
          <w:rFonts w:hint="eastAsia" w:ascii="仿宋_GB2312" w:hAnsi="仿宋_GB2312" w:eastAsia="仿宋_GB2312" w:cs="仿宋_GB2312"/>
          <w:color w:val="auto"/>
          <w:kern w:val="2"/>
          <w:sz w:val="24"/>
          <w:szCs w:val="24"/>
          <w:highlight w:val="none"/>
          <w:lang w:val="en-US" w:eastAsia="zh-CN" w:bidi="ar-SA"/>
        </w:rPr>
        <w:br w:type="textWrapping"/>
      </w:r>
      <w:r>
        <w:rPr>
          <w:rFonts w:hint="eastAsia" w:ascii="仿宋_GB2312" w:hAnsi="仿宋_GB2312" w:eastAsia="仿宋_GB2312" w:cs="仿宋_GB2312"/>
          <w:color w:val="auto"/>
          <w:kern w:val="2"/>
          <w:sz w:val="24"/>
          <w:szCs w:val="24"/>
          <w:highlight w:val="none"/>
          <w:lang w:val="en-US" w:eastAsia="zh-CN" w:bidi="ar-SA"/>
        </w:rPr>
        <w:t>审核功能：管理员审核制度内容可进行驳回、通过、废弃、下架操作；</w:t>
      </w:r>
      <w:r>
        <w:rPr>
          <w:rFonts w:hint="eastAsia" w:ascii="仿宋_GB2312" w:hAnsi="仿宋_GB2312" w:eastAsia="仿宋_GB2312" w:cs="仿宋_GB2312"/>
          <w:color w:val="auto"/>
          <w:kern w:val="2"/>
          <w:sz w:val="24"/>
          <w:szCs w:val="24"/>
          <w:highlight w:val="none"/>
          <w:lang w:val="en-US" w:eastAsia="zh-CN" w:bidi="ar-SA"/>
        </w:rPr>
        <w:br w:type="textWrapping"/>
      </w:r>
      <w:r>
        <w:rPr>
          <w:rFonts w:hint="eastAsia" w:ascii="仿宋_GB2312" w:hAnsi="仿宋_GB2312" w:eastAsia="仿宋_GB2312" w:cs="仿宋_GB2312"/>
          <w:color w:val="auto"/>
          <w:kern w:val="2"/>
          <w:sz w:val="24"/>
          <w:szCs w:val="24"/>
          <w:highlight w:val="none"/>
          <w:lang w:val="en-US" w:eastAsia="zh-CN" w:bidi="ar-SA"/>
        </w:rPr>
        <w:t>频道管理功能：按照制度性质进行分类，设置不同频道；</w:t>
      </w:r>
      <w:r>
        <w:rPr>
          <w:rFonts w:hint="eastAsia" w:ascii="仿宋_GB2312" w:hAnsi="仿宋_GB2312" w:eastAsia="仿宋_GB2312" w:cs="仿宋_GB2312"/>
          <w:color w:val="auto"/>
          <w:kern w:val="2"/>
          <w:sz w:val="24"/>
          <w:szCs w:val="24"/>
          <w:highlight w:val="none"/>
          <w:lang w:val="en-US" w:eastAsia="zh-CN" w:bidi="ar-SA"/>
        </w:rPr>
        <w:br w:type="textWrapping"/>
      </w:r>
      <w:r>
        <w:rPr>
          <w:rFonts w:hint="eastAsia" w:ascii="仿宋_GB2312" w:hAnsi="仿宋_GB2312" w:eastAsia="仿宋_GB2312" w:cs="仿宋_GB2312"/>
          <w:color w:val="auto"/>
          <w:kern w:val="2"/>
          <w:sz w:val="24"/>
          <w:szCs w:val="24"/>
          <w:highlight w:val="none"/>
          <w:lang w:val="en-US" w:eastAsia="zh-CN" w:bidi="ar-SA"/>
        </w:rPr>
        <w:t>标签管理功能：按制度类别添加不同的标签，方便查找。</w:t>
      </w:r>
      <w:r>
        <w:rPr>
          <w:rFonts w:hint="eastAsia" w:ascii="仿宋_GB2312" w:hAnsi="仿宋_GB2312" w:eastAsia="仿宋_GB2312" w:cs="仿宋_GB2312"/>
          <w:color w:val="auto"/>
          <w:kern w:val="2"/>
          <w:sz w:val="24"/>
          <w:szCs w:val="24"/>
          <w:highlight w:val="none"/>
          <w:lang w:val="en-US" w:eastAsia="zh-CN" w:bidi="ar-SA"/>
        </w:rPr>
        <w:br w:type="textWrapping"/>
      </w:r>
      <w:r>
        <w:rPr>
          <w:rFonts w:hint="eastAsia" w:ascii="仿宋_GB2312" w:hAnsi="仿宋_GB2312" w:eastAsia="仿宋_GB2312" w:cs="仿宋_GB2312"/>
          <w:color w:val="auto"/>
          <w:kern w:val="2"/>
          <w:sz w:val="24"/>
          <w:szCs w:val="24"/>
          <w:highlight w:val="none"/>
          <w:lang w:val="en-US" w:eastAsia="zh-CN" w:bidi="ar-SA"/>
        </w:rPr>
        <w:t>制度检索功能：具备制度检索功能；</w:t>
      </w:r>
    </w:p>
    <w:p w14:paraId="10993D9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lang w:val="en-US" w:eastAsia="zh-CN"/>
        </w:rPr>
        <w:t>专题学习</w:t>
      </w:r>
    </w:p>
    <w:p w14:paraId="0580DA46">
      <w:pPr>
        <w:pStyle w:val="10"/>
        <w:ind w:left="479" w:leftChars="228" w:firstLine="0" w:firstLineChars="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课程分类管理：用户增加课程分类，可按照自己的当前要发布的内容进行分类命名，便于查找，当前登录有管理权限的用户只管理自己发布的内容。可增删改查。</w:t>
      </w:r>
    </w:p>
    <w:p w14:paraId="0A28A2C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仿宋_GB2312" w:hAnsi="仿宋_GB2312" w:eastAsia="仿宋_GB2312" w:cs="仿宋_GB2312"/>
          <w:color w:val="auto"/>
          <w:kern w:val="0"/>
          <w:sz w:val="24"/>
          <w:szCs w:val="24"/>
          <w:highlight w:val="none"/>
          <w:lang w:val="en-US" w:eastAsia="zh-CN"/>
        </w:rPr>
        <w:t>视频课堂</w:t>
      </w:r>
    </w:p>
    <w:p w14:paraId="494FF040">
      <w:pPr>
        <w:pStyle w:val="1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视频课程</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用户根据添加的栏目，在该栏目下创建视频，创建时可填写相应的栏目内容</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当前登录有管理权限的用户只管理自己发布的内容。可增删改查。</w:t>
      </w:r>
    </w:p>
    <w:p w14:paraId="5590C14C">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kern w:val="0"/>
          <w:sz w:val="24"/>
          <w:szCs w:val="24"/>
          <w:highlight w:val="none"/>
        </w:rPr>
        <w:t>视频题库</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每个课程视频有配套的测试题库，当党员观看视频后，可进行答题获取积分。可增删改。</w:t>
      </w:r>
    </w:p>
    <w:p w14:paraId="430A876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lang w:val="en-US" w:eastAsia="zh-CN"/>
        </w:rPr>
        <w:t>课件管理</w:t>
      </w:r>
    </w:p>
    <w:p w14:paraId="0E7D7845">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课件类型管理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根据需要在对应的专题下创建试题。</w:t>
      </w:r>
    </w:p>
    <w:p w14:paraId="63BCA4E9">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课件目录管理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管理员可对题库目录进行命名</w:t>
      </w:r>
    </w:p>
    <w:p w14:paraId="427779E0">
      <w:pPr>
        <w:pStyle w:val="6"/>
        <w:bidi w:val="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rPr>
        <w:t>党建信息管理</w:t>
      </w:r>
    </w:p>
    <w:p w14:paraId="14F8120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新闻发布管理</w:t>
      </w:r>
    </w:p>
    <w:p w14:paraId="3F74032E">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新闻发布</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管理员或授权用户上传和发布各类与党建工作相关的新闻内容，确保党员能及时了解党的最新动态。</w:t>
      </w:r>
    </w:p>
    <w:p w14:paraId="1180B543">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分类管理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对发布的新闻进行分类管理，方便党员按照类别查找和阅读。</w:t>
      </w:r>
    </w:p>
    <w:p w14:paraId="46C2C2B3">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新闻审核</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具备新闻发布前的审核流程，确保发布的新闻内容准确无误、符合党的方针政策，避免出现错误引导或不良信息传播。</w:t>
      </w:r>
    </w:p>
    <w:p w14:paraId="53AACC1D">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新闻列表</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展示党组织的最新新闻，包括各个类型的新闻类型等。可进行查看。</w:t>
      </w:r>
    </w:p>
    <w:p w14:paraId="7C680097">
      <w:pPr>
        <w:pStyle w:val="10"/>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留言管理</w:t>
      </w:r>
    </w:p>
    <w:p w14:paraId="532EF565">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本平台发布的文章均提供文章留言功能，读者可在阅读后留言；</w:t>
      </w:r>
    </w:p>
    <w:p w14:paraId="25548C5B">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提供留言审核发布功能和回复功能</w:t>
      </w:r>
    </w:p>
    <w:p w14:paraId="7BA0FF32">
      <w:pPr>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回复的内容可在“个人中心”中查看。当检测到新的回复内容时，“个人中心”有“新回复内容”的提醒标识。</w:t>
      </w:r>
    </w:p>
    <w:p w14:paraId="1C74C774">
      <w:pPr>
        <w:bidi w:val="0"/>
        <w:ind w:left="0" w:leftChars="0" w:firstLine="0" w:firstLineChars="0"/>
        <w:rPr>
          <w:rFonts w:hint="eastAsia" w:ascii="仿宋_GB2312" w:hAnsi="仿宋_GB2312" w:eastAsia="仿宋_GB2312" w:cs="仿宋_GB2312"/>
          <w:sz w:val="24"/>
          <w:szCs w:val="24"/>
          <w:highlight w:val="none"/>
        </w:rPr>
      </w:pPr>
      <w:r>
        <w:rPr>
          <w:rFonts w:hint="eastAsia" w:ascii="宋体" w:hAnsi="宋体" w:cs="宋体"/>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活跃度统计</w:t>
      </w:r>
    </w:p>
    <w:p w14:paraId="08004898">
      <w:pPr>
        <w:bidi w:val="0"/>
        <w:rPr>
          <w:rFonts w:hint="eastAsia" w:ascii="Times New Roman" w:hAnsi="Times New Roman" w:cs="Times New Roman"/>
          <w:sz w:val="24"/>
          <w:szCs w:val="24"/>
          <w:highlight w:val="none"/>
        </w:rPr>
      </w:pPr>
      <w:r>
        <w:rPr>
          <w:rFonts w:hint="eastAsia" w:ascii="仿宋_GB2312" w:hAnsi="仿宋_GB2312" w:eastAsia="仿宋_GB2312" w:cs="仿宋_GB2312"/>
          <w:sz w:val="24"/>
          <w:szCs w:val="24"/>
          <w:highlight w:val="none"/>
        </w:rPr>
        <w:t>可按时段查询统计活跃度，统计出登录用户数，各用户登录总次数等汇总结果</w:t>
      </w:r>
      <w:r>
        <w:rPr>
          <w:rFonts w:hint="eastAsia" w:ascii="Times New Roman" w:hAnsi="Times New Roman" w:cs="Times New Roman"/>
          <w:sz w:val="24"/>
          <w:szCs w:val="24"/>
          <w:highlight w:val="none"/>
        </w:rPr>
        <w:t>。</w:t>
      </w:r>
    </w:p>
    <w:p w14:paraId="511340D0">
      <w:pPr>
        <w:pStyle w:val="6"/>
        <w:bidi w:val="0"/>
        <w:rPr>
          <w:rFonts w:hint="eastAsia"/>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rPr>
        <w:t>党组织管理</w:t>
      </w:r>
    </w:p>
    <w:p w14:paraId="271053F2">
      <w:pPr>
        <w:bidi w:val="0"/>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Times New Roman" w:hAnsi="Times New Roman" w:cs="Times New Roman"/>
          <w:sz w:val="24"/>
          <w:szCs w:val="24"/>
          <w:highlight w:val="none"/>
          <w:lang w:val="en-US" w:eastAsia="zh-CN"/>
        </w:rPr>
        <w:t>1）</w:t>
      </w:r>
      <w:r>
        <w:rPr>
          <w:rFonts w:hint="eastAsia" w:ascii="仿宋_GB2312" w:hAnsi="仿宋_GB2312" w:eastAsia="仿宋_GB2312" w:cs="仿宋_GB2312"/>
          <w:sz w:val="24"/>
          <w:szCs w:val="24"/>
          <w:highlight w:val="none"/>
          <w:lang w:val="en-US" w:eastAsia="zh-CN"/>
        </w:rPr>
        <w:t>组织架构管理</w:t>
      </w:r>
    </w:p>
    <w:p w14:paraId="0ACC55AC">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对整个党组织架构进行管理，可进行添加、编辑、删除操作；实现党组织分级管理，可设置分级管理员。</w:t>
      </w:r>
    </w:p>
    <w:p w14:paraId="307CA564">
      <w:pPr>
        <w:bidi w:val="0"/>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Times New Roman" w:hAnsi="Times New Roman" w:cs="Times New Roman"/>
          <w:sz w:val="24"/>
          <w:szCs w:val="24"/>
          <w:highlight w:val="none"/>
          <w:lang w:val="en-US" w:eastAsia="zh-CN"/>
        </w:rPr>
        <w:t>2）</w:t>
      </w:r>
      <w:r>
        <w:rPr>
          <w:rFonts w:hint="eastAsia" w:ascii="仿宋_GB2312" w:hAnsi="仿宋_GB2312" w:eastAsia="仿宋_GB2312" w:cs="仿宋_GB2312"/>
          <w:sz w:val="24"/>
          <w:szCs w:val="24"/>
          <w:highlight w:val="none"/>
          <w:lang w:val="en-US" w:eastAsia="zh-CN"/>
        </w:rPr>
        <w:t>党员用户管理</w:t>
      </w:r>
    </w:p>
    <w:p w14:paraId="1FC2E9E0">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批量管理党员账号，可进添加、修改归属、冻结、启用、修改密码、导入导出用户、查看活动记录操作；各级管理员可以在系统查看和维护本级组织下的所有党员信息（包括发展党员信息）</w:t>
      </w:r>
    </w:p>
    <w:p w14:paraId="4DC420B0">
      <w:pPr>
        <w:bidi w:val="0"/>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Times New Roman" w:hAnsi="Times New Roman" w:cs="Times New Roman"/>
          <w:sz w:val="24"/>
          <w:szCs w:val="24"/>
          <w:highlight w:val="none"/>
          <w:lang w:val="en-US" w:eastAsia="zh-CN"/>
        </w:rPr>
        <w:t>3）</w:t>
      </w:r>
      <w:r>
        <w:rPr>
          <w:rFonts w:hint="eastAsia" w:ascii="仿宋_GB2312" w:hAnsi="仿宋_GB2312" w:eastAsia="仿宋_GB2312" w:cs="仿宋_GB2312"/>
          <w:sz w:val="24"/>
          <w:szCs w:val="24"/>
          <w:highlight w:val="none"/>
          <w:lang w:val="en-US" w:eastAsia="zh-CN"/>
        </w:rPr>
        <w:t>角色管理</w:t>
      </w:r>
    </w:p>
    <w:p w14:paraId="2D2D8919">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设置实际情况将用户以分类分组的方式分配角色，实现了基于角色的权限访问控制(Role-Based Access Control)，将角色作为一个用户与权限的代理层，隔离用户与权限，解耦了权限和用户的关系，所有的授权应该给予角色而不是直接给用户或组织，减小了授权管理的复杂性，降低管理开销，可以更灵活地支持企业的安全策略，并对企业的变化有很大的伸缩性。</w:t>
      </w:r>
    </w:p>
    <w:p w14:paraId="3721EAF9">
      <w:pPr>
        <w:bidi w:val="0"/>
        <w:ind w:left="0" w:leftChars="0" w:firstLine="0" w:firstLineChars="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4）</w:t>
      </w:r>
      <w:r>
        <w:rPr>
          <w:rFonts w:hint="eastAsia" w:ascii="仿宋_GB2312" w:hAnsi="仿宋_GB2312" w:eastAsia="仿宋_GB2312" w:cs="仿宋_GB2312"/>
          <w:sz w:val="24"/>
          <w:szCs w:val="24"/>
          <w:highlight w:val="none"/>
          <w:lang w:val="en-US" w:eastAsia="zh-CN"/>
        </w:rPr>
        <w:t>权限管理</w:t>
      </w:r>
    </w:p>
    <w:p w14:paraId="7E897ADC">
      <w:pPr>
        <w:pStyle w:val="1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可根据具体角色的使用需要设置开放相对应的权限；提供对用户角色权限的管理，为各级党组织、党务工作者设置独立账号权限，系统管理员拥有最高权限，可设定不同岗位、不同角色的用户的权限；</w:t>
      </w:r>
    </w:p>
    <w:p w14:paraId="1DA8EDE6">
      <w:pPr>
        <w:pStyle w:val="5"/>
        <w:numPr>
          <w:ilvl w:val="0"/>
          <w:numId w:val="8"/>
        </w:numPr>
        <w:bidi w:val="0"/>
        <w:rPr>
          <w:rFonts w:hint="eastAsia"/>
          <w:highlight w:val="none"/>
          <w:lang w:eastAsia="zh-CN"/>
        </w:rPr>
      </w:pPr>
      <w:r>
        <w:rPr>
          <w:rFonts w:hint="eastAsia"/>
          <w:highlight w:val="none"/>
          <w:lang w:eastAsia="zh-CN"/>
        </w:rPr>
        <w:t>园区智慧党建小程序</w:t>
      </w:r>
    </w:p>
    <w:p w14:paraId="7B097717">
      <w:pPr>
        <w:pStyle w:val="6"/>
        <w:numPr>
          <w:ilvl w:val="0"/>
          <w:numId w:val="9"/>
        </w:numPr>
        <w:bidi w:val="0"/>
        <w:rPr>
          <w:rFonts w:hint="eastAsia"/>
          <w:highlight w:val="none"/>
          <w:lang w:eastAsia="zh-CN"/>
        </w:rPr>
      </w:pP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lang w:eastAsia="zh-CN"/>
        </w:rPr>
        <w:t>首页</w:t>
      </w:r>
    </w:p>
    <w:p w14:paraId="0B7DE4F1">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eastAsia="zh-CN"/>
        </w:rPr>
        <w:t>通知公告</w:t>
      </w:r>
    </w:p>
    <w:p w14:paraId="320CD0EB">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公告列表：查看管理员发布的公告，可支持查看</w:t>
      </w:r>
    </w:p>
    <w:p w14:paraId="46807B31">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通知提醒：提供通知提醒功能，方便党员及时了解重要通知。通知后可在待办事项中查看需要查看的通知公告。</w:t>
      </w:r>
    </w:p>
    <w:p w14:paraId="5B402FB2">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eastAsia="zh-CN"/>
        </w:rPr>
        <w:t>党建动态</w:t>
      </w:r>
    </w:p>
    <w:p w14:paraId="56FA1C10">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动态列表</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展示党组织的最新动态，包括上级党组织的重要指示、领导讲话等。可进行查看。</w:t>
      </w:r>
    </w:p>
    <w:p w14:paraId="2B9D123E">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图片及视频展示</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展示党组织开展的各类活动照片及视频，增加动态的真实感和视觉效果。</w:t>
      </w:r>
    </w:p>
    <w:p w14:paraId="6456014B">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eastAsia="zh-CN"/>
        </w:rPr>
        <w:t>党建资讯</w:t>
      </w:r>
    </w:p>
    <w:p w14:paraId="306A61B1">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资讯列表：查看相关党建资讯，帮助党员了解最新方针政策，提高党员的政治素质和思想觉悟。</w:t>
      </w:r>
    </w:p>
    <w:p w14:paraId="53193BDF">
      <w:pPr>
        <w:pStyle w:val="6"/>
        <w:numPr>
          <w:ilvl w:val="0"/>
          <w:numId w:val="9"/>
        </w:numPr>
        <w:bidi w:val="0"/>
        <w:rPr>
          <w:rFonts w:hint="eastAsia"/>
          <w:highlight w:val="none"/>
          <w:lang w:eastAsia="zh-CN"/>
        </w:rPr>
      </w:pP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lang w:eastAsia="zh-CN"/>
        </w:rPr>
        <w:t>个人中心</w:t>
      </w:r>
    </w:p>
    <w:p w14:paraId="434905FF">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eastAsia="zh-CN"/>
        </w:rPr>
        <w:t>个人信息管理</w:t>
      </w:r>
    </w:p>
    <w:p w14:paraId="117D51F6">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显示个人信息中的非关键信息，可根据用户需求进行修改更新。可修改密码和退出账号。可进行编辑、查看。</w:t>
      </w:r>
    </w:p>
    <w:p w14:paraId="3EF0C6E8">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待办事项</w:t>
      </w:r>
    </w:p>
    <w:p w14:paraId="39C517B9">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所有接收到的通知公告列表，可进行确认操作.可查看所有已办事项的列表。</w:t>
      </w:r>
    </w:p>
    <w:p w14:paraId="780AC530">
      <w:pPr>
        <w:pStyle w:val="6"/>
        <w:numPr>
          <w:ilvl w:val="0"/>
          <w:numId w:val="9"/>
        </w:numPr>
        <w:bidi w:val="0"/>
        <w:rPr>
          <w:rFonts w:hint="eastAsia"/>
          <w:highlight w:val="none"/>
          <w:lang w:eastAsia="zh-CN"/>
        </w:rPr>
      </w:pP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lang w:eastAsia="zh-CN"/>
        </w:rPr>
        <w:t>党群服务</w:t>
      </w:r>
    </w:p>
    <w:p w14:paraId="606805F2">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随手拍</w:t>
      </w:r>
    </w:p>
    <w:p w14:paraId="5F50FBBD">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照片上传：党员和群众可以通过该平台上传自己的优秀照片、视频和创意作品，展示自己在基层党组织和党员志愿服务中的实际行动。</w:t>
      </w:r>
    </w:p>
    <w:p w14:paraId="759D6F2F">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作品展示：平台会定期展示优秀的照片、视频和创意作品，通过展示这些作品，鼓励更多的党员和群众参与到党建平台随手拍活动中来。</w:t>
      </w:r>
    </w:p>
    <w:p w14:paraId="257ECBF3">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互动交流：平台会提供互动交流的功能，增强彼此之间的交流和互动。</w:t>
      </w:r>
    </w:p>
    <w:p w14:paraId="3EF5D713">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统计数据：平台会记录上传的作品数量、留言数等数据，帮助组织者了解活动的参与情况，并根据反馈情况对活动进行调整和改进。</w:t>
      </w:r>
    </w:p>
    <w:p w14:paraId="1B169B30">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微捐赠</w:t>
      </w:r>
    </w:p>
    <w:p w14:paraId="5799E060">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捐赠申请：申请捐赠请求，包括捐赠人信息、捐赠物品等信息，并由管理员对捐赠请求进行审核和管理。</w:t>
      </w:r>
    </w:p>
    <w:p w14:paraId="14D7274D">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捐赠信息公开：将捐赠信息展示在平台上，方便捐赠人查看和管理捐赠情况，同时也可以向社会公开宣传党务建设和发展成果。</w:t>
      </w:r>
    </w:p>
    <w:p w14:paraId="7A0B863C">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捐赠查询和统计：提供捐赠查询功能，方便捐赠人查询和管理自己的捐赠记录，同时也可以对捐赠情况进行统计和分析，为党务建设和发展提供数据支持。</w:t>
      </w:r>
    </w:p>
    <w:p w14:paraId="3F4AEF8D">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任务督办</w:t>
      </w:r>
    </w:p>
    <w:p w14:paraId="2908C3FA">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任务发布：管理员可以在线发布各项具体工作任务并明确任务内容、目标要求、完成时间及责任人。</w:t>
      </w:r>
    </w:p>
    <w:p w14:paraId="7374D42A">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任务分配：管理员将任务精确地分配党员，确保每个党员清楚了解自己的责任与任务。</w:t>
      </w:r>
    </w:p>
    <w:p w14:paraId="4BCF5961">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进度跟踪：任务发布后，党员需按照要求执行并实时更新任务进展，系统可追踪任务的完成状态，便于管理者及时掌握整体工作进度。</w:t>
      </w:r>
    </w:p>
    <w:p w14:paraId="36DAC74E">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督办提醒：对于临近截止日期未完成的任务，系统能发送督办提醒通知到相关责任人，有效防止工作延误。</w:t>
      </w:r>
    </w:p>
    <w:p w14:paraId="11020119">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反馈评价：任务完成后，上级党组织或任务发起人可以对完成情况进行审核和评价，形成闭环管理机制。</w:t>
      </w:r>
    </w:p>
    <w:p w14:paraId="02C6BC42">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数据分析：通过数据统计分析，展示各支部、党员的任务完成情况，为后续优化工作计划、考核评价提供科学依据。</w:t>
      </w:r>
    </w:p>
    <w:p w14:paraId="10C6FD65">
      <w:pPr>
        <w:pStyle w:val="6"/>
        <w:numPr>
          <w:ilvl w:val="0"/>
          <w:numId w:val="9"/>
        </w:numPr>
        <w:bidi w:val="0"/>
        <w:rPr>
          <w:rFonts w:hint="eastAsia"/>
          <w:highlight w:val="none"/>
          <w:lang w:eastAsia="zh-CN"/>
        </w:rPr>
      </w:pPr>
      <w:r>
        <w:rPr>
          <w:rFonts w:hint="eastAsia" w:ascii="宋体" w:hAnsi="宋体" w:eastAsia="宋体" w:cs="宋体"/>
          <w:color w:val="auto"/>
          <w:kern w:val="0"/>
          <w:sz w:val="24"/>
          <w:szCs w:val="24"/>
          <w:highlight w:val="none"/>
          <w:lang w:eastAsia="zh-CN"/>
        </w:rPr>
        <w:t>▲</w:t>
      </w:r>
      <w:r>
        <w:rPr>
          <w:rFonts w:hint="eastAsia" w:ascii="仿宋_GB2312" w:hAnsi="仿宋_GB2312" w:eastAsia="仿宋_GB2312" w:cs="仿宋_GB2312"/>
          <w:highlight w:val="none"/>
          <w:lang w:eastAsia="zh-CN"/>
        </w:rPr>
        <w:t>党员学习</w:t>
      </w:r>
    </w:p>
    <w:p w14:paraId="21A638D6">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党规党章：查看后台发布的党规党章</w:t>
      </w:r>
    </w:p>
    <w:p w14:paraId="18C5AE99">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制度汇编：查看后台发布的制度汇编</w:t>
      </w:r>
    </w:p>
    <w:p w14:paraId="2C0761C0">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专题学习：查看后台发布的学习内容</w:t>
      </w:r>
    </w:p>
    <w:p w14:paraId="2BDD28D5">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视频课堂：查看后台发布的视频课堂。</w:t>
      </w:r>
    </w:p>
    <w:p w14:paraId="11694C5E">
      <w:pPr>
        <w:pStyle w:val="5"/>
        <w:numPr>
          <w:ilvl w:val="0"/>
          <w:numId w:val="8"/>
        </w:numPr>
        <w:bidi w:val="0"/>
        <w:rPr>
          <w:rFonts w:hint="eastAsia"/>
          <w:highlight w:val="none"/>
          <w:lang w:eastAsia="zh-CN"/>
        </w:rPr>
      </w:pPr>
      <w:r>
        <w:rPr>
          <w:rFonts w:hint="eastAsia"/>
          <w:highlight w:val="none"/>
          <w:lang w:eastAsia="zh-CN"/>
        </w:rPr>
        <w:t>园区企业服务系统小程序</w:t>
      </w:r>
    </w:p>
    <w:p w14:paraId="6FFAFA67">
      <w:pPr>
        <w:pStyle w:val="6"/>
        <w:numPr>
          <w:ilvl w:val="0"/>
          <w:numId w:val="0"/>
        </w:numPr>
        <w:bidi w:val="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ascii="仿宋_GB2312" w:hAnsi="仿宋_GB2312" w:eastAsia="仿宋_GB2312" w:cs="仿宋_GB2312"/>
          <w:highlight w:val="none"/>
          <w:lang w:eastAsia="zh-CN"/>
        </w:rPr>
        <w:t>信息轮播</w:t>
      </w:r>
    </w:p>
    <w:p w14:paraId="5826C085">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通知咨询：可发布和查阅通知咨询</w:t>
      </w:r>
    </w:p>
    <w:p w14:paraId="33E78746">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党建新闻：可发布和查阅党建新闻</w:t>
      </w:r>
    </w:p>
    <w:p w14:paraId="748CDB04">
      <w:pPr>
        <w:pStyle w:val="6"/>
        <w:bidi w:val="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ascii="仿宋_GB2312" w:hAnsi="仿宋_GB2312" w:eastAsia="仿宋_GB2312" w:cs="仿宋_GB2312"/>
          <w:highlight w:val="none"/>
          <w:lang w:eastAsia="zh-CN"/>
        </w:rPr>
        <w:t>园区服务</w:t>
      </w:r>
    </w:p>
    <w:p w14:paraId="17CBC2F6">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人才e家：对接跳转人才e家，跳转人才e家</w:t>
      </w:r>
    </w:p>
    <w:p w14:paraId="4594A91F">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普惠金融：对接跳转普惠金融服务平台，跳转普惠金融服务平台</w:t>
      </w:r>
    </w:p>
    <w:p w14:paraId="026B9C65">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餐饮预定：可查看历史预订信息，可在线预订，可取消预订</w:t>
      </w:r>
    </w:p>
    <w:p w14:paraId="43E81859">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会议预定：可申请会议，可查看我的会议信</w:t>
      </w:r>
    </w:p>
    <w:p w14:paraId="0E3EF3A1">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智慧停车</w:t>
      </w:r>
      <w:r>
        <w:rPr>
          <w:rFonts w:hint="eastAsia" w:ascii="仿宋_GB2312" w:hAnsi="仿宋_GB2312" w:eastAsia="仿宋_GB2312" w:cs="仿宋_GB2312"/>
          <w:color w:val="auto"/>
          <w:sz w:val="24"/>
          <w:szCs w:val="24"/>
          <w:highlight w:val="none"/>
          <w:lang w:val="en-US" w:eastAsia="zh-CN"/>
        </w:rPr>
        <w:t>:可查看当前租赁信息，可缴月保、年保,可输入车牌号进行临停缴费,查看缴费记录，可填写抬头进行发票申请,查看发票信息</w:t>
      </w:r>
    </w:p>
    <w:p w14:paraId="1F4D9B31">
      <w:pPr>
        <w:pStyle w:val="6"/>
        <w:bidi w:val="0"/>
        <w:rPr>
          <w:rFonts w:hint="eastAsia" w:ascii="仿宋_GB2312" w:hAnsi="仿宋_GB2312" w:eastAsia="仿宋_GB2312" w:cs="仿宋_GB2312"/>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ascii="仿宋_GB2312" w:hAnsi="仿宋_GB2312" w:eastAsia="仿宋_GB2312" w:cs="仿宋_GB2312"/>
          <w:highlight w:val="none"/>
          <w:lang w:eastAsia="zh-CN"/>
        </w:rPr>
        <w:t>物业服务</w:t>
      </w:r>
    </w:p>
    <w:p w14:paraId="6C78CE51">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在线缴费</w:t>
      </w:r>
      <w:r>
        <w:rPr>
          <w:rFonts w:hint="eastAsia" w:ascii="仿宋_GB2312" w:hAnsi="仿宋_GB2312" w:eastAsia="仿宋_GB2312" w:cs="仿宋_GB2312"/>
          <w:color w:val="auto"/>
          <w:sz w:val="24"/>
          <w:szCs w:val="24"/>
          <w:highlight w:val="none"/>
          <w:lang w:val="en-US" w:eastAsia="zh-CN"/>
        </w:rPr>
        <w:t>:查看物业费信息，可在线缴纳；可查看租金账单信息，可在线缴纳；可查看历史缴费记录，可填写抬头进行发票申请；可在线开发票，查看历史发票信息</w:t>
      </w:r>
    </w:p>
    <w:p w14:paraId="6629BF0E">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报事报修：可提交报修信息，填写事项内容及图片上传；可查看报修记录信息</w:t>
      </w:r>
    </w:p>
    <w:p w14:paraId="511DFFCD">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投诉建议：可提交建议信息，填写建议内容及图片上传；可查看建议记录信息</w:t>
      </w:r>
    </w:p>
    <w:p w14:paraId="2B084D79">
      <w:pPr>
        <w:pStyle w:val="6"/>
        <w:numPr>
          <w:ilvl w:val="0"/>
          <w:numId w:val="0"/>
        </w:numPr>
        <w:bidi w:val="0"/>
        <w:rPr>
          <w:rFonts w:hint="eastAsia" w:ascii="仿宋_GB2312" w:hAnsi="仿宋_GB2312" w:eastAsia="仿宋_GB2312" w:cs="仿宋_GB2312"/>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ascii="仿宋_GB2312" w:hAnsi="仿宋_GB2312" w:eastAsia="仿宋_GB2312" w:cs="仿宋_GB2312"/>
          <w:highlight w:val="none"/>
          <w:lang w:eastAsia="zh-CN"/>
        </w:rPr>
        <w:t>园区管理</w:t>
      </w:r>
    </w:p>
    <w:p w14:paraId="1E24E28E">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企业入驻：可新增企业入驻信息，可维护企业入驻合同、租金等信息；</w:t>
      </w:r>
    </w:p>
    <w:p w14:paraId="620DBE75">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企业信息：可查看企业详细信息以及欠缴费情况；</w:t>
      </w:r>
    </w:p>
    <w:p w14:paraId="0A19AF22">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用户信息：可维护企业用户信息，可修改用户信息、重置密码、停用等操作</w:t>
      </w:r>
    </w:p>
    <w:p w14:paraId="161107FC">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企业退租：可办理企业退租</w:t>
      </w:r>
    </w:p>
    <w:p w14:paraId="42E40DF9">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园区联系：可维护园区联系信息</w:t>
      </w:r>
    </w:p>
    <w:p w14:paraId="263884C1">
      <w:pPr>
        <w:pStyle w:val="6"/>
        <w:numPr>
          <w:ilvl w:val="0"/>
          <w:numId w:val="0"/>
        </w:numPr>
        <w:bidi w:val="0"/>
        <w:rPr>
          <w:rFonts w:hint="eastAsia" w:ascii="仿宋_GB2312" w:hAnsi="仿宋_GB2312" w:eastAsia="仿宋_GB2312" w:cs="仿宋_GB2312"/>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ascii="仿宋_GB2312" w:hAnsi="仿宋_GB2312" w:eastAsia="仿宋_GB2312" w:cs="仿宋_GB2312"/>
          <w:highlight w:val="none"/>
          <w:lang w:eastAsia="zh-CN"/>
        </w:rPr>
        <w:t>个人中心</w:t>
      </w:r>
    </w:p>
    <w:p w14:paraId="58F1D7D7">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注册入驻：注册申请，注册时绑定</w:t>
      </w:r>
    </w:p>
    <w:p w14:paraId="1EE545EA">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企业信息：企业信息维护</w:t>
      </w:r>
    </w:p>
    <w:p w14:paraId="105ECA10">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个人信息：个人信息维护</w:t>
      </w:r>
    </w:p>
    <w:p w14:paraId="3D2438A8">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企业退租：退租申请并记录查看</w:t>
      </w:r>
    </w:p>
    <w:p w14:paraId="394B8FF8">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园区联系：可查看联系方式</w:t>
      </w:r>
    </w:p>
    <w:p w14:paraId="00E79B35">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账号设置：可修改账号密码</w:t>
      </w:r>
    </w:p>
    <w:p w14:paraId="01437E9C">
      <w:pPr>
        <w:pStyle w:val="6"/>
        <w:bidi w:val="0"/>
        <w:rPr>
          <w:rFonts w:hint="eastAsia" w:ascii="仿宋_GB2312" w:hAnsi="仿宋_GB2312" w:eastAsia="仿宋_GB2312" w:cs="仿宋_GB2312"/>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ascii="仿宋_GB2312" w:hAnsi="仿宋_GB2312" w:eastAsia="仿宋_GB2312" w:cs="仿宋_GB2312"/>
          <w:highlight w:val="none"/>
          <w:lang w:eastAsia="zh-CN"/>
        </w:rPr>
        <w:t>系统管理</w:t>
      </w:r>
    </w:p>
    <w:p w14:paraId="321F67EA">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用户管理：后台管理用户维护</w:t>
      </w:r>
    </w:p>
    <w:p w14:paraId="5913B978">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角色管理：</w:t>
      </w:r>
      <w:r>
        <w:rPr>
          <w:rFonts w:hint="eastAsia" w:ascii="仿宋_GB2312" w:hAnsi="仿宋_GB2312" w:eastAsia="仿宋_GB2312" w:cs="仿宋_GB2312"/>
          <w:color w:val="auto"/>
          <w:sz w:val="24"/>
          <w:szCs w:val="24"/>
          <w:highlight w:val="none"/>
          <w:lang w:val="en-US" w:eastAsia="zh-CN"/>
        </w:rPr>
        <w:t>可自定义不同的角色</w:t>
      </w:r>
    </w:p>
    <w:p w14:paraId="332BC5DE">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权限管理：</w:t>
      </w:r>
      <w:r>
        <w:rPr>
          <w:rFonts w:hint="eastAsia" w:ascii="仿宋_GB2312" w:hAnsi="仿宋_GB2312" w:eastAsia="仿宋_GB2312" w:cs="仿宋_GB2312"/>
          <w:color w:val="auto"/>
          <w:sz w:val="24"/>
          <w:szCs w:val="24"/>
          <w:highlight w:val="none"/>
          <w:lang w:val="en-US" w:eastAsia="zh-CN"/>
        </w:rPr>
        <w:t>为不同的角色配置访问权限</w:t>
      </w:r>
    </w:p>
    <w:p w14:paraId="77137FB7">
      <w:pPr>
        <w:pStyle w:val="4"/>
        <w:bidi w:val="0"/>
        <w:rPr>
          <w:rStyle w:val="24"/>
          <w:rFonts w:hint="eastAsia" w:asciiTheme="minorEastAsia" w:hAnsiTheme="minorEastAsia" w:eastAsiaTheme="minorEastAsia" w:cstheme="minorEastAsia"/>
          <w:b/>
          <w:bCs/>
          <w:color w:val="262626" w:themeColor="text1" w:themeTint="D9"/>
          <w:sz w:val="24"/>
          <w:szCs w:val="24"/>
          <w:highlight w:val="none"/>
          <w:lang w:val="en-US" w:eastAsia="zh-CN"/>
          <w14:textFill>
            <w14:solidFill>
              <w14:schemeClr w14:val="tx1">
                <w14:lumMod w14:val="85000"/>
                <w14:lumOff w14:val="15000"/>
              </w14:schemeClr>
            </w14:solidFill>
          </w14:textFill>
        </w:rPr>
      </w:pPr>
      <w:bookmarkStart w:id="42" w:name="_Toc5854"/>
      <w:r>
        <w:rPr>
          <w:rFonts w:hint="eastAsia" w:cs="宋体"/>
          <w:szCs w:val="32"/>
          <w:highlight w:val="none"/>
          <w:lang w:eastAsia="zh-CN"/>
        </w:rPr>
        <w:t>（</w:t>
      </w:r>
      <w:r>
        <w:rPr>
          <w:rFonts w:hint="eastAsia" w:cs="宋体"/>
          <w:szCs w:val="32"/>
          <w:highlight w:val="none"/>
          <w:lang w:val="en-US" w:eastAsia="zh-CN"/>
        </w:rPr>
        <w:t>二</w:t>
      </w:r>
      <w:r>
        <w:rPr>
          <w:rFonts w:hint="eastAsia" w:cs="宋体"/>
          <w:szCs w:val="32"/>
          <w:highlight w:val="none"/>
          <w:lang w:eastAsia="zh-CN"/>
        </w:rPr>
        <w:t>）</w:t>
      </w:r>
      <w:r>
        <w:rPr>
          <w:rFonts w:hint="eastAsia" w:cs="宋体"/>
          <w:szCs w:val="32"/>
          <w:highlight w:val="none"/>
        </w:rPr>
        <w:t>系统</w:t>
      </w:r>
      <w:r>
        <w:rPr>
          <w:rFonts w:hint="eastAsia" w:ascii="Arial" w:hAnsi="Arial" w:cs="宋体"/>
          <w:szCs w:val="32"/>
          <w:highlight w:val="none"/>
        </w:rPr>
        <w:t>性能</w:t>
      </w:r>
      <w:r>
        <w:rPr>
          <w:rFonts w:hint="eastAsia" w:ascii="Arial" w:hAnsi="Arial" w:cs="宋体"/>
          <w:szCs w:val="32"/>
          <w:highlight w:val="none"/>
          <w:lang w:val="en-US" w:eastAsia="zh-CN"/>
        </w:rPr>
        <w:t>要求</w:t>
      </w:r>
      <w:bookmarkEnd w:id="42"/>
    </w:p>
    <w:p w14:paraId="26AE8B42">
      <w:pPr>
        <w:pStyle w:val="5"/>
        <w:bidi w:val="0"/>
        <w:rPr>
          <w:rFonts w:hint="eastAsia" w:ascii="仿宋_GB2312" w:hAnsi="仿宋_GB2312" w:eastAsia="仿宋_GB2312" w:cs="仿宋_GB2312"/>
          <w:highlight w:val="none"/>
          <w:lang w:val="en-US" w:eastAsia="zh-CN"/>
        </w:rPr>
      </w:pPr>
      <w:r>
        <w:rPr>
          <w:rFonts w:hint="eastAsia"/>
          <w:highlight w:val="none"/>
          <w:lang w:val="en-US" w:eastAsia="zh-CN"/>
        </w:rPr>
        <w:t>1、△</w:t>
      </w:r>
      <w:r>
        <w:rPr>
          <w:rFonts w:hint="eastAsia" w:ascii="仿宋_GB2312" w:hAnsi="仿宋_GB2312" w:eastAsia="仿宋_GB2312" w:cs="仿宋_GB2312"/>
          <w:b/>
          <w:bCs/>
          <w:highlight w:val="none"/>
          <w:lang w:val="en-US" w:eastAsia="zh-CN"/>
        </w:rPr>
        <w:t>应用性能要求</w:t>
      </w:r>
    </w:p>
    <w:p w14:paraId="55EDA96B">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应用系统的性能应满足业务处理流程的要求，稳定、可靠、实用，人机界面友好，输入输出便捷，查询功能简单明了。</w:t>
      </w:r>
    </w:p>
    <w:p w14:paraId="6DBC0980">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（1）提供丰富的功能和业务组件，保证灵活扩展，相关组件相互调用简单易用。</w:t>
      </w:r>
    </w:p>
    <w:p w14:paraId="56C3F075">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（2）系统运维管理操作简便，平台监控时效性高，对低质量服务和恶意访问及时提示管理员，并能有效、方便地进行控制和管理。</w:t>
      </w:r>
    </w:p>
    <w:p w14:paraId="69CEE9EB">
      <w:pPr>
        <w:pStyle w:val="5"/>
        <w:bidi w:val="0"/>
        <w:rPr>
          <w:rFonts w:hint="eastAsia" w:ascii="仿宋_GB2312" w:hAnsi="仿宋_GB2312" w:eastAsia="仿宋_GB2312" w:cs="仿宋_GB2312"/>
          <w:highlight w:val="none"/>
          <w:lang w:val="en-US" w:eastAsia="zh-CN"/>
        </w:rPr>
      </w:pPr>
      <w:r>
        <w:rPr>
          <w:rFonts w:hint="eastAsia"/>
          <w:highlight w:val="none"/>
          <w:lang w:val="en-US" w:eastAsia="zh-CN"/>
        </w:rPr>
        <w:t>2、△</w:t>
      </w:r>
      <w:r>
        <w:rPr>
          <w:rFonts w:hint="eastAsia" w:ascii="仿宋_GB2312" w:hAnsi="仿宋_GB2312" w:eastAsia="仿宋_GB2312" w:cs="仿宋_GB2312"/>
          <w:b/>
          <w:bCs/>
          <w:highlight w:val="none"/>
          <w:lang w:val="en-US" w:eastAsia="zh-CN"/>
        </w:rPr>
        <w:t>系统响应需求</w:t>
      </w:r>
    </w:p>
    <w:p w14:paraId="311A7C29">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系统应保证多用户并发访问时的系统可靠性和系统性能不受到严重影响，具体性能要求如下：</w:t>
      </w:r>
    </w:p>
    <w:p w14:paraId="1E89AE1E">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（1）系统应实现7×24小时的连续运行，年平均无故障时间大于360天，平均停机时间小于0.5小时；</w:t>
      </w:r>
    </w:p>
    <w:p w14:paraId="19345B32">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（2）非高峰时期，单次操作、资源搜索平均响应时间在3秒以内；支持不少于500个并发连接；</w:t>
      </w:r>
    </w:p>
    <w:p w14:paraId="24C1E264">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（3）高峰时期系统响应时间应小于5秒。</w:t>
      </w:r>
    </w:p>
    <w:p w14:paraId="40FCAA05">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（4）数据备份、恢复，支持7×24不间断工作，故障恢复时间在10分钟内。</w:t>
      </w:r>
    </w:p>
    <w:p w14:paraId="4D636B61">
      <w:pPr>
        <w:pStyle w:val="5"/>
        <w:bidi w:val="0"/>
        <w:rPr>
          <w:rFonts w:hint="eastAsia"/>
          <w:highlight w:val="none"/>
          <w:lang w:val="en-US" w:eastAsia="zh-CN"/>
        </w:rPr>
      </w:pPr>
      <w:r>
        <w:rPr>
          <w:rFonts w:hint="eastAsia"/>
          <w:highlight w:val="none"/>
          <w:lang w:val="en-US" w:eastAsia="zh-CN"/>
        </w:rPr>
        <w:t>3、△系统管理容量要求</w:t>
      </w:r>
    </w:p>
    <w:p w14:paraId="6472AC76">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系统要求采用主流大中型数据库系统，并且保证大容量数据库的可操作性。</w:t>
      </w:r>
    </w:p>
    <w:p w14:paraId="051DC325">
      <w:pPr>
        <w:pStyle w:val="4"/>
        <w:bidi w:val="0"/>
        <w:rPr>
          <w:rFonts w:hint="eastAsia"/>
          <w:highlight w:val="none"/>
          <w:lang w:val="en-US" w:eastAsia="zh-CN"/>
        </w:rPr>
      </w:pPr>
      <w:r>
        <w:rPr>
          <w:rFonts w:hint="eastAsia"/>
          <w:highlight w:val="none"/>
          <w:lang w:val="en-US" w:eastAsia="zh-CN"/>
        </w:rPr>
        <w:t>（三）项目实施要求</w:t>
      </w:r>
    </w:p>
    <w:p w14:paraId="2A6E5FC1">
      <w:pPr>
        <w:pStyle w:val="5"/>
        <w:bidi w:val="0"/>
        <w:rPr>
          <w:rFonts w:hint="eastAsia" w:ascii="仿宋_GB2312" w:hAnsi="仿宋_GB2312" w:eastAsia="仿宋_GB2312" w:cs="仿宋_GB2312"/>
          <w:highlight w:val="none"/>
          <w:lang w:val="en-US" w:eastAsia="zh-CN"/>
        </w:rPr>
      </w:pPr>
      <w:bookmarkStart w:id="43" w:name="_Toc18418"/>
      <w:r>
        <w:rPr>
          <w:rFonts w:hint="eastAsia"/>
          <w:highlight w:val="none"/>
          <w:lang w:val="en-US" w:eastAsia="zh-CN"/>
        </w:rPr>
        <w:t>1、△</w:t>
      </w:r>
      <w:r>
        <w:rPr>
          <w:rFonts w:hint="eastAsia" w:ascii="仿宋_GB2312" w:hAnsi="仿宋_GB2312" w:eastAsia="仿宋_GB2312" w:cs="仿宋_GB2312"/>
          <w:b/>
          <w:bCs/>
          <w:highlight w:val="none"/>
          <w:lang w:val="en-US" w:eastAsia="zh-CN"/>
        </w:rPr>
        <w:t>项目组织管理</w:t>
      </w:r>
      <w:bookmarkEnd w:id="43"/>
    </w:p>
    <w:p w14:paraId="42C6C9ED">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为保障项目按质、按量、按时及有序实施，供应商需承诺对本项目须建立一个完善和稳定的项目团队、管理机构及执行流程。其中，设立项目经理1名，对项目负总责，负责各建设阶段（需求调研与规划设计、系统建设、运营运维与部署实施等）统筹工作，由5年及以上相关项目管理经验的人员担任。针对本条，供应商需提供《团队组建承诺函》。</w:t>
      </w:r>
    </w:p>
    <w:p w14:paraId="0B0E5507">
      <w:pPr>
        <w:pStyle w:val="5"/>
        <w:bidi w:val="0"/>
        <w:rPr>
          <w:rFonts w:hint="eastAsia" w:ascii="仿宋_GB2312" w:hAnsi="仿宋_GB2312" w:eastAsia="仿宋_GB2312" w:cs="仿宋_GB2312"/>
          <w:highlight w:val="none"/>
          <w:lang w:val="en-US" w:eastAsia="zh-CN"/>
        </w:rPr>
      </w:pPr>
      <w:bookmarkStart w:id="44" w:name="_Toc25795"/>
      <w:r>
        <w:rPr>
          <w:rFonts w:hint="eastAsia"/>
          <w:highlight w:val="none"/>
          <w:lang w:val="en-US" w:eastAsia="zh-CN"/>
        </w:rPr>
        <w:t>2、△</w:t>
      </w:r>
      <w:r>
        <w:rPr>
          <w:rFonts w:hint="eastAsia" w:ascii="仿宋_GB2312" w:hAnsi="仿宋_GB2312" w:eastAsia="仿宋_GB2312" w:cs="仿宋_GB2312"/>
          <w:b/>
          <w:bCs/>
          <w:highlight w:val="none"/>
          <w:lang w:val="en-US" w:eastAsia="zh-CN"/>
        </w:rPr>
        <w:t>人员配备要求</w:t>
      </w:r>
      <w:bookmarkEnd w:id="44"/>
    </w:p>
    <w:p w14:paraId="5019C989">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目组织结构与人力资源方案（项目实施团队），供应商应说明为满足本项目实施需要，拟成立的本项目实施团队的管理组织机构，包括人员的配备、分工、参加项目时间，并附上参加本项目的主要管理、技术人员一览表。在项目组人员构成方面，必须配备如下几类人员：项目经理、需求分析师、软件工程师、技术工程师、系统测试人员、文档编写人员等。</w:t>
      </w:r>
    </w:p>
    <w:p w14:paraId="6AE23A83">
      <w:pPr>
        <w:pStyle w:val="5"/>
        <w:bidi w:val="0"/>
        <w:rPr>
          <w:rFonts w:hint="eastAsia" w:ascii="仿宋_GB2312" w:hAnsi="仿宋_GB2312" w:eastAsia="仿宋_GB2312" w:cs="仿宋_GB2312"/>
          <w:highlight w:val="none"/>
          <w:lang w:val="en-US" w:eastAsia="zh-CN"/>
        </w:rPr>
      </w:pPr>
      <w:bookmarkStart w:id="45" w:name="_Toc29634"/>
      <w:r>
        <w:rPr>
          <w:rFonts w:hint="eastAsia"/>
          <w:highlight w:val="none"/>
          <w:lang w:val="en-US" w:eastAsia="zh-CN"/>
        </w:rPr>
        <w:t>3、△</w:t>
      </w:r>
      <w:r>
        <w:rPr>
          <w:rFonts w:hint="eastAsia" w:ascii="仿宋_GB2312" w:hAnsi="仿宋_GB2312" w:eastAsia="仿宋_GB2312" w:cs="仿宋_GB2312"/>
          <w:b/>
          <w:bCs/>
          <w:highlight w:val="none"/>
          <w:lang w:val="en-US" w:eastAsia="zh-CN"/>
        </w:rPr>
        <w:t>项目实施进度</w:t>
      </w:r>
      <w:bookmarkEnd w:id="45"/>
    </w:p>
    <w:p w14:paraId="6D67C42D">
      <w:pPr>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供应商需要通过对本项目深刻理解和充分的需求分析，提供具体的项目实施方案。方案内容应包括但不限于：项目进度计划及保证措施、项目管理方案、实施进度、实施范围、项目验收方案、培训方案等。</w:t>
      </w:r>
    </w:p>
    <w:p w14:paraId="216642D4">
      <w:pPr>
        <w:pStyle w:val="5"/>
        <w:bidi w:val="0"/>
        <w:ind w:firstLine="0"/>
        <w:rPr>
          <w:rFonts w:hint="eastAsia" w:ascii="仿宋_GB2312" w:hAnsi="仿宋_GB2312" w:eastAsia="仿宋_GB2312" w:cs="仿宋_GB2312"/>
          <w:highlight w:val="none"/>
          <w:lang w:val="en-US" w:eastAsia="zh-CN"/>
        </w:rPr>
      </w:pPr>
      <w:bookmarkStart w:id="46" w:name="_Toc21025"/>
      <w:r>
        <w:rPr>
          <w:rFonts w:hint="eastAsia"/>
          <w:highlight w:val="none"/>
          <w:lang w:val="en-US" w:eastAsia="zh-CN"/>
        </w:rPr>
        <w:t>4、△</w:t>
      </w:r>
      <w:r>
        <w:rPr>
          <w:rFonts w:hint="eastAsia" w:ascii="仿宋_GB2312" w:hAnsi="仿宋_GB2312" w:eastAsia="仿宋_GB2312" w:cs="仿宋_GB2312"/>
          <w:b/>
          <w:bCs/>
          <w:highlight w:val="none"/>
          <w:lang w:val="en-US" w:eastAsia="zh-CN"/>
        </w:rPr>
        <w:t>培训考核</w:t>
      </w:r>
      <w:bookmarkEnd w:id="46"/>
    </w:p>
    <w:p w14:paraId="187EDCA2">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立科学规范的系统培训学习考核制度，通过严格的考试或考核，全面了解、准确评价用户参加培训学习的情况和效果，积极有效地做好考核结果的运用，以此调动用户参加培训学习的自觉性、积极性，促进系统的最终应用，逐步走上科学化、规范化、制度化的轨道。</w:t>
      </w:r>
    </w:p>
    <w:p w14:paraId="6A1D7532">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为了提高考核工作的公平性、准确性和实效性，应坚持以下基本原则：</w:t>
      </w:r>
    </w:p>
    <w:p w14:paraId="73C1BD4C">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（1）分级分类的原则</w:t>
      </w:r>
    </w:p>
    <w:p w14:paraId="19038111">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根据不同级别、不同层次的用户以及不同使用目的，制定相应的考试内容和考核方法，使考核具有较强的针对性。</w:t>
      </w:r>
    </w:p>
    <w:p w14:paraId="633C3D41">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（2）科学规范、简便易行的原则</w:t>
      </w:r>
    </w:p>
    <w:p w14:paraId="10CF0A81">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考核内容要统一规范，考核手段要科学严密，考核标准要明确具体，考核过程要简便易行，切实防止形式主义。</w:t>
      </w:r>
    </w:p>
    <w:p w14:paraId="4E8BFB83">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（3）严格监督管理的原则</w:t>
      </w:r>
    </w:p>
    <w:p w14:paraId="753C6D49">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对考核过程进行严格的监督管理，严肃考试考核纪律，严禁徇私舞弊和弄虚作假的行为。</w:t>
      </w:r>
    </w:p>
    <w:p w14:paraId="246665F4">
      <w:pPr>
        <w:pStyle w:val="5"/>
        <w:bidi w:val="0"/>
        <w:ind w:firstLine="0"/>
        <w:rPr>
          <w:rFonts w:hint="eastAsia" w:ascii="仿宋_GB2312" w:hAnsi="仿宋_GB2312" w:eastAsia="仿宋_GB2312" w:cs="仿宋_GB2312"/>
          <w:highlight w:val="none"/>
          <w:lang w:val="en-US" w:eastAsia="zh-CN"/>
        </w:rPr>
      </w:pPr>
      <w:bookmarkStart w:id="47" w:name="_Toc28714"/>
      <w:r>
        <w:rPr>
          <w:rFonts w:hint="eastAsia"/>
          <w:highlight w:val="none"/>
          <w:lang w:val="en-US" w:eastAsia="zh-CN"/>
        </w:rPr>
        <w:t>5、△</w:t>
      </w:r>
      <w:r>
        <w:rPr>
          <w:rFonts w:hint="eastAsia" w:ascii="仿宋_GB2312" w:hAnsi="仿宋_GB2312" w:eastAsia="仿宋_GB2312" w:cs="仿宋_GB2312"/>
          <w:b/>
          <w:bCs/>
          <w:highlight w:val="none"/>
          <w:lang w:val="en-US" w:eastAsia="zh-CN"/>
        </w:rPr>
        <w:t>效果跟踪</w:t>
      </w:r>
      <w:bookmarkEnd w:id="47"/>
    </w:p>
    <w:p w14:paraId="09AA26AB">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培训完成以后，不定期的对系统的运行情况进行检查，以确定培训效果，并从反馈意见中不断总结经验，对于个别用户使用遇到问题，指派专业人员进行解答。同时从完善用户使用手册、提供方便快捷的联机帮助、系统管理员的后续指导等几个方面弥补培训中的不足，以充分落实培训效果。</w:t>
      </w:r>
    </w:p>
    <w:p w14:paraId="754BE08C">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培训是系统顺利运行的重要保证，培训日程与系统开发和实施过程相适应。在系统培训过程中，需要结合各个岗位的实际应用，进行集中培训、个别辅导、答疑与考核和技术支持，以便使学员能够迅速掌握相应的培训内容。</w:t>
      </w:r>
    </w:p>
    <w:p w14:paraId="5115F9DA">
      <w:pPr>
        <w:pStyle w:val="5"/>
        <w:bidi w:val="0"/>
        <w:ind w:firstLine="0"/>
        <w:rPr>
          <w:rFonts w:hint="eastAsia" w:ascii="仿宋_GB2312" w:hAnsi="仿宋_GB2312" w:eastAsia="仿宋_GB2312" w:cs="仿宋_GB2312"/>
          <w:highlight w:val="none"/>
          <w:lang w:val="en-US" w:eastAsia="zh-CN"/>
        </w:rPr>
      </w:pPr>
      <w:bookmarkStart w:id="48" w:name="_Toc23778"/>
      <w:r>
        <w:rPr>
          <w:rFonts w:hint="eastAsia"/>
          <w:highlight w:val="none"/>
          <w:lang w:val="en-US" w:eastAsia="zh-CN"/>
        </w:rPr>
        <w:t>6、△</w:t>
      </w:r>
      <w:r>
        <w:rPr>
          <w:rFonts w:hint="eastAsia" w:ascii="仿宋_GB2312" w:hAnsi="仿宋_GB2312" w:eastAsia="仿宋_GB2312" w:cs="仿宋_GB2312"/>
          <w:b/>
          <w:bCs/>
          <w:highlight w:val="none"/>
          <w:lang w:val="en-US" w:eastAsia="zh-CN"/>
        </w:rPr>
        <w:t>定期更新操作手册</w:t>
      </w:r>
      <w:bookmarkEnd w:id="48"/>
    </w:p>
    <w:p w14:paraId="6A44DC57">
      <w:pPr>
        <w:bidi w:val="0"/>
        <w:ind w:firstLine="1366"/>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编辑操作手册，并随系统版本的升级，定期进行更新。</w:t>
      </w:r>
    </w:p>
    <w:p w14:paraId="6B9D12AD">
      <w:pPr>
        <w:pStyle w:val="4"/>
        <w:bidi w:val="0"/>
        <w:rPr>
          <w:rFonts w:hint="default"/>
          <w:highlight w:val="none"/>
          <w:lang w:val="en-US" w:eastAsia="zh-CN"/>
        </w:rPr>
      </w:pPr>
      <w:r>
        <w:rPr>
          <w:rFonts w:hint="eastAsia"/>
          <w:highlight w:val="none"/>
          <w:lang w:val="en-US" w:eastAsia="zh-CN"/>
        </w:rPr>
        <w:t>（四）运维服务要求</w:t>
      </w:r>
    </w:p>
    <w:p w14:paraId="7E50E814">
      <w:pPr>
        <w:pStyle w:val="5"/>
        <w:bidi w:val="0"/>
        <w:rPr>
          <w:rFonts w:hint="eastAsia" w:ascii="仿宋_GB2312" w:hAnsi="仿宋_GB2312" w:eastAsia="仿宋_GB2312" w:cs="仿宋_GB2312"/>
          <w:highlight w:val="none"/>
          <w:lang w:val="en-US" w:eastAsia="zh-CN"/>
        </w:rPr>
      </w:pPr>
      <w:bookmarkStart w:id="49" w:name="_Toc15880"/>
      <w:r>
        <w:rPr>
          <w:rFonts w:hint="eastAsia"/>
          <w:highlight w:val="none"/>
          <w:lang w:val="en-US" w:eastAsia="zh-CN"/>
        </w:rPr>
        <w:t>1、△</w:t>
      </w:r>
      <w:r>
        <w:rPr>
          <w:rFonts w:hint="eastAsia" w:ascii="仿宋_GB2312" w:hAnsi="仿宋_GB2312" w:eastAsia="仿宋_GB2312" w:cs="仿宋_GB2312"/>
          <w:b/>
          <w:bCs/>
          <w:highlight w:val="none"/>
          <w:lang w:val="en-US" w:eastAsia="zh-CN"/>
        </w:rPr>
        <w:t>运维服务</w:t>
      </w:r>
      <w:bookmarkEnd w:id="49"/>
    </w:p>
    <w:p w14:paraId="414D96D7">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1.本项目软硬件需提供三年维保，不再计取额外的费用，协助客户处理平台相关问题，</w:t>
      </w:r>
    </w:p>
    <w:p w14:paraId="56D5C857">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2.在运维期内，供应商需提供可持续性的运维升级服务，确保平台持续可用。</w:t>
      </w:r>
    </w:p>
    <w:p w14:paraId="765D5E5A">
      <w:pPr>
        <w:keepNext w:val="0"/>
        <w:keepLines w:val="0"/>
        <w:pageBreakBefore w:val="0"/>
        <w:widowControl w:val="0"/>
        <w:kinsoku/>
        <w:wordWrap/>
        <w:overflowPunct/>
        <w:topLinePunct w:val="0"/>
        <w:autoSpaceDE/>
        <w:autoSpaceDN/>
        <w:bidi w:val="0"/>
        <w:adjustRightInd/>
        <w:snapToGrid/>
        <w:ind w:firstLine="1366"/>
        <w:textAlignment w:val="auto"/>
        <w:rPr>
          <w:rFonts w:hint="eastAsia" w:ascii="Times New Roman" w:hAnsi="Times New Roman" w:eastAsia="宋体" w:cs="Times New Roman"/>
          <w:sz w:val="24"/>
          <w:szCs w:val="24"/>
          <w:highlight w:val="none"/>
          <w:lang w:val="en-US" w:eastAsia="zh-CN"/>
        </w:rPr>
      </w:pPr>
      <w:r>
        <w:rPr>
          <w:rFonts w:hint="eastAsia" w:ascii="仿宋_GB2312" w:hAnsi="仿宋_GB2312" w:eastAsia="仿宋_GB2312" w:cs="仿宋_GB2312"/>
          <w:sz w:val="24"/>
          <w:szCs w:val="24"/>
          <w:highlight w:val="none"/>
          <w:lang w:val="en-US" w:eastAsia="zh-CN"/>
        </w:rPr>
        <w:t>3.在运维期内，提供日常运维服务，包含巡检、备份、系统健康检查、应用统计分析等服务，详细服务内容如下所述：</w:t>
      </w:r>
    </w:p>
    <w:p w14:paraId="48ECCF46">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r>
        <w:rPr>
          <w:rFonts w:hint="eastAsia" w:ascii="仿宋_GB2312" w:hAnsi="仿宋_GB2312" w:eastAsia="仿宋_GB2312" w:cs="仿宋_GB2312"/>
          <w:sz w:val="24"/>
          <w:szCs w:val="24"/>
          <w:highlight w:val="none"/>
          <w:lang w:val="en-US" w:eastAsia="zh-CN"/>
        </w:rPr>
        <w:t>日常巡检服务</w:t>
      </w:r>
    </w:p>
    <w:p w14:paraId="5DA7BC79">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为了保证系统处于健康运行状态，工程师定期对系统软、硬件进行巡检，主要从故障检查、能力检查、可用性检查等方面进行。</w:t>
      </w:r>
    </w:p>
    <w:p w14:paraId="4DF7617D">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（2）日常备份服务</w:t>
      </w:r>
    </w:p>
    <w:p w14:paraId="49DB9ECE">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为保证数据安全、可靠，工程师定期对系统数据进行备份，以保证数据的完整性。</w:t>
      </w:r>
    </w:p>
    <w:p w14:paraId="5215C1AA">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（3）系统健康检查服务</w:t>
      </w:r>
    </w:p>
    <w:p w14:paraId="498EDBEA">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定期对系统的软、硬件进行一次各方面的健康检查，主要从系统的配置、性能、容量三方面进行，包括操作系统状态、数据库状态、系统软件使用状态等。同时根据情况在出具相应的系统健康报告和具体的改进措施建议。</w:t>
      </w:r>
    </w:p>
    <w:p w14:paraId="183431D7">
      <w:pPr>
        <w:pStyle w:val="5"/>
        <w:bidi w:val="0"/>
        <w:rPr>
          <w:rFonts w:hint="eastAsia" w:ascii="仿宋_GB2312" w:hAnsi="仿宋_GB2312" w:eastAsia="仿宋_GB2312" w:cs="仿宋_GB2312"/>
          <w:highlight w:val="none"/>
          <w:lang w:val="en-US" w:eastAsia="zh-CN"/>
        </w:rPr>
      </w:pPr>
      <w:bookmarkStart w:id="50" w:name="_Toc5149"/>
      <w:r>
        <w:rPr>
          <w:rFonts w:hint="eastAsia"/>
          <w:highlight w:val="none"/>
          <w:lang w:val="en-US" w:eastAsia="zh-CN"/>
        </w:rPr>
        <w:t>2、△</w:t>
      </w:r>
      <w:r>
        <w:rPr>
          <w:rFonts w:hint="eastAsia" w:ascii="仿宋_GB2312" w:hAnsi="仿宋_GB2312" w:eastAsia="仿宋_GB2312" w:cs="仿宋_GB2312"/>
          <w:b/>
          <w:bCs/>
          <w:highlight w:val="none"/>
          <w:lang w:val="en-US" w:eastAsia="zh-CN"/>
        </w:rPr>
        <w:t>产品升级服务</w:t>
      </w:r>
      <w:bookmarkEnd w:id="50"/>
    </w:p>
    <w:p w14:paraId="0A0AD235">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在服务期内，供应商应提供软件优化升级服务。升级服务要求如下：</w:t>
      </w:r>
    </w:p>
    <w:p w14:paraId="28C4EDEA">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软件升级前供应商应对新版软件进行测试以保证其新功能的实现及运行的稳定性。</w:t>
      </w:r>
    </w:p>
    <w:p w14:paraId="0011381D">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在升级前须认真核查系统状况，升级前制定详细的方案，须包括升级范围、升级详细步骤及升级失败后的恢复措施，尽可能把升级对系统运行的影响降低。</w:t>
      </w:r>
    </w:p>
    <w:p w14:paraId="6623A440">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升级前供应商应与建设方共同做好系统备份和相关数据备份（用于应急恢复）以及系统状态日志备份（用于核查）。</w:t>
      </w:r>
    </w:p>
    <w:p w14:paraId="28DC2CC9">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升级过程中建设方技术人员有权了解升级中所采取的操作、具体步骤等信息。</w:t>
      </w:r>
    </w:p>
    <w:p w14:paraId="04B967BB">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升级失败，供应商应按照要求，完成系统恢复工作。</w:t>
      </w:r>
    </w:p>
    <w:p w14:paraId="36E1759C">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在服务期内软件升级不再计取额外的费用。</w:t>
      </w:r>
    </w:p>
    <w:p w14:paraId="7857F0BA">
      <w:pPr>
        <w:pStyle w:val="5"/>
        <w:bidi w:val="0"/>
        <w:rPr>
          <w:rFonts w:hint="eastAsia" w:ascii="仿宋_GB2312" w:hAnsi="仿宋_GB2312" w:eastAsia="仿宋_GB2312" w:cs="仿宋_GB2312"/>
          <w:highlight w:val="none"/>
          <w:lang w:val="en-US" w:eastAsia="zh-CN"/>
        </w:rPr>
      </w:pPr>
      <w:bookmarkStart w:id="51" w:name="_Toc3666"/>
      <w:r>
        <w:rPr>
          <w:rFonts w:hint="eastAsia"/>
          <w:highlight w:val="none"/>
          <w:lang w:val="en-US" w:eastAsia="zh-CN"/>
        </w:rPr>
        <w:t>3、△</w:t>
      </w:r>
      <w:r>
        <w:rPr>
          <w:rFonts w:hint="eastAsia" w:ascii="仿宋_GB2312" w:hAnsi="仿宋_GB2312" w:eastAsia="仿宋_GB2312" w:cs="仿宋_GB2312"/>
          <w:b/>
          <w:bCs/>
          <w:highlight w:val="none"/>
          <w:lang w:val="en-US" w:eastAsia="zh-CN"/>
        </w:rPr>
        <w:t>运行维护管理制度</w:t>
      </w:r>
      <w:bookmarkEnd w:id="51"/>
    </w:p>
    <w:p w14:paraId="6680753A">
      <w:pPr>
        <w:keepNext w:val="0"/>
        <w:keepLines w:val="0"/>
        <w:pageBreakBefore w:val="0"/>
        <w:widowControl w:val="0"/>
        <w:kinsoku/>
        <w:wordWrap/>
        <w:overflowPunct/>
        <w:topLinePunct w:val="0"/>
        <w:autoSpaceDE/>
        <w:autoSpaceDN/>
        <w:bidi w:val="0"/>
        <w:adjustRightInd/>
        <w:snapToGrid/>
        <w:ind w:firstLine="1366"/>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应设立运行维护管理组织机构、制定健全运行维护管理制度，明确人员岗位的职责，加强人员运维管理、事件处理流程以及相应的操作规范，加强信息系统应急预案的建设。运行维护管理制度主要包括：系统运行环境管理制度、应用系统操作管理制度、数据管理制度、技术文档管理制度、系统事故系统应急预案等。</w:t>
      </w:r>
    </w:p>
    <w:p w14:paraId="6D026123">
      <w:pPr>
        <w:pStyle w:val="4"/>
        <w:bidi w:val="0"/>
        <w:rPr>
          <w:rFonts w:hint="eastAsia"/>
          <w:highlight w:val="none"/>
        </w:rPr>
      </w:pPr>
      <w:r>
        <w:rPr>
          <w:rFonts w:hint="eastAsia"/>
          <w:highlight w:val="none"/>
        </w:rPr>
        <w:t>三、商务条件</w:t>
      </w:r>
    </w:p>
    <w:p w14:paraId="4E378116">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仿宋_GB2312" w:hAnsi="仿宋_GB2312" w:eastAsia="仿宋_GB2312" w:cs="仿宋_GB2312"/>
          <w:spacing w:val="0"/>
          <w:sz w:val="24"/>
          <w:szCs w:val="24"/>
          <w:highlight w:val="none"/>
          <w:lang w:eastAsia="zh-CN"/>
        </w:rPr>
      </w:pPr>
      <w:r>
        <w:rPr>
          <w:rFonts w:hint="eastAsia" w:ascii="仿宋_GB2312" w:hAnsi="仿宋_GB2312" w:eastAsia="仿宋_GB2312" w:cs="仿宋_GB2312"/>
          <w:spacing w:val="0"/>
          <w:sz w:val="24"/>
          <w:szCs w:val="24"/>
          <w:highlight w:val="none"/>
        </w:rPr>
        <w:t>包：1</w:t>
      </w:r>
    </w:p>
    <w:p w14:paraId="3FBEB6B5">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仿宋_GB2312" w:hAnsi="仿宋_GB2312" w:eastAsia="仿宋_GB2312" w:cs="仿宋_GB2312"/>
          <w:b w:val="0"/>
          <w:bCs w:val="0"/>
          <w:spacing w:val="0"/>
          <w:sz w:val="24"/>
          <w:szCs w:val="24"/>
          <w:highlight w:val="none"/>
          <w:lang w:eastAsia="zh-CN"/>
        </w:rPr>
      </w:pPr>
      <w:r>
        <w:rPr>
          <w:rFonts w:hint="eastAsia" w:ascii="仿宋_GB2312" w:hAnsi="仿宋_GB2312" w:eastAsia="仿宋_GB2312" w:cs="仿宋_GB2312"/>
          <w:spacing w:val="0"/>
          <w:sz w:val="24"/>
          <w:szCs w:val="24"/>
          <w:highlight w:val="none"/>
        </w:rPr>
        <w:t>1、</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spacing w:val="0"/>
          <w:sz w:val="24"/>
          <w:szCs w:val="24"/>
          <w:highlight w:val="none"/>
        </w:rPr>
        <w:t>交付地点：</w:t>
      </w:r>
      <w:r>
        <w:rPr>
          <w:rFonts w:hint="eastAsia" w:ascii="仿宋_GB2312" w:hAnsi="仿宋_GB2312" w:eastAsia="仿宋_GB2312" w:cs="仿宋_GB2312"/>
          <w:spacing w:val="0"/>
          <w:sz w:val="24"/>
          <w:szCs w:val="24"/>
          <w:highlight w:val="none"/>
          <w:lang w:val="en-US" w:eastAsia="zh-CN"/>
        </w:rPr>
        <w:t>龙岩市新罗区（</w:t>
      </w:r>
      <w:r>
        <w:rPr>
          <w:rFonts w:hint="eastAsia" w:ascii="仿宋_GB2312" w:hAnsi="仿宋_GB2312" w:eastAsia="仿宋_GB2312" w:cs="仿宋_GB2312"/>
          <w:bCs/>
          <w:color w:val="000000"/>
          <w:sz w:val="24"/>
          <w:szCs w:val="24"/>
          <w:highlight w:val="none"/>
          <w:lang w:val="en-US" w:eastAsia="zh-CN"/>
        </w:rPr>
        <w:t>福建省穗龙数字科技有限公司</w:t>
      </w:r>
      <w:r>
        <w:rPr>
          <w:rFonts w:hint="eastAsia" w:ascii="仿宋_GB2312" w:hAnsi="仿宋_GB2312" w:eastAsia="仿宋_GB2312" w:cs="仿宋_GB2312"/>
          <w:bCs/>
          <w:color w:val="000000"/>
          <w:sz w:val="24"/>
          <w:szCs w:val="24"/>
          <w:highlight w:val="none"/>
          <w:lang w:val="zh-CN" w:eastAsia="zh-CN"/>
        </w:rPr>
        <w:t>采购人指定位置</w:t>
      </w:r>
      <w:r>
        <w:rPr>
          <w:rFonts w:hint="eastAsia" w:ascii="仿宋_GB2312" w:hAnsi="仿宋_GB2312" w:eastAsia="仿宋_GB2312" w:cs="仿宋_GB2312"/>
          <w:spacing w:val="0"/>
          <w:sz w:val="24"/>
          <w:szCs w:val="24"/>
          <w:highlight w:val="none"/>
          <w:lang w:val="en-US" w:eastAsia="zh-CN"/>
        </w:rPr>
        <w:t>）</w:t>
      </w:r>
      <w:r>
        <w:rPr>
          <w:rFonts w:hint="eastAsia" w:ascii="仿宋_GB2312" w:hAnsi="仿宋_GB2312" w:eastAsia="仿宋_GB2312" w:cs="仿宋_GB2312"/>
          <w:b w:val="0"/>
          <w:bCs w:val="0"/>
          <w:spacing w:val="0"/>
          <w:sz w:val="24"/>
          <w:szCs w:val="24"/>
          <w:highlight w:val="none"/>
          <w:lang w:val="en-US" w:eastAsia="zh-CN"/>
        </w:rPr>
        <w:t>。</w:t>
      </w:r>
      <w:r>
        <w:rPr>
          <w:rFonts w:hint="eastAsia" w:ascii="仿宋_GB2312" w:hAnsi="仿宋_GB2312" w:eastAsia="仿宋_GB2312" w:cs="仿宋_GB2312"/>
          <w:b w:val="0"/>
          <w:bCs w:val="0"/>
          <w:spacing w:val="0"/>
          <w:sz w:val="24"/>
          <w:szCs w:val="24"/>
          <w:highlight w:val="none"/>
        </w:rPr>
        <w:t> </w:t>
      </w:r>
    </w:p>
    <w:p w14:paraId="5172552B">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b w:val="0"/>
          <w:bCs w:val="0"/>
          <w:spacing w:val="0"/>
          <w:sz w:val="24"/>
          <w:szCs w:val="24"/>
          <w:highlight w:val="none"/>
        </w:rPr>
        <w:t>2、</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val="0"/>
          <w:bCs w:val="0"/>
          <w:spacing w:val="0"/>
          <w:sz w:val="24"/>
          <w:szCs w:val="24"/>
          <w:highlight w:val="none"/>
        </w:rPr>
        <w:t>交付时间：</w:t>
      </w:r>
      <w:r>
        <w:rPr>
          <w:rFonts w:hint="eastAsia" w:ascii="仿宋_GB2312" w:hAnsi="仿宋_GB2312" w:eastAsia="仿宋_GB2312" w:cs="仿宋_GB2312"/>
          <w:b w:val="0"/>
          <w:bCs w:val="0"/>
          <w:spacing w:val="0"/>
          <w:sz w:val="24"/>
          <w:szCs w:val="24"/>
          <w:highlight w:val="none"/>
          <w:lang w:eastAsia="zh-CN"/>
        </w:rPr>
        <w:t>合</w:t>
      </w:r>
      <w:r>
        <w:rPr>
          <w:rFonts w:hint="eastAsia" w:ascii="仿宋_GB2312" w:hAnsi="仿宋_GB2312" w:eastAsia="仿宋_GB2312" w:cs="仿宋_GB2312"/>
          <w:spacing w:val="0"/>
          <w:sz w:val="24"/>
          <w:szCs w:val="24"/>
          <w:highlight w:val="none"/>
          <w:lang w:val="en-US" w:eastAsia="zh-CN"/>
        </w:rPr>
        <w:t>同签订后 (30) 天内，按采购文件要求完成合同包项目的安装调试并交付。</w:t>
      </w:r>
    </w:p>
    <w:p w14:paraId="587E0BCD">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仿宋_GB2312" w:hAnsi="仿宋_GB2312" w:eastAsia="仿宋_GB2312" w:cs="仿宋_GB2312"/>
          <w:b w:val="0"/>
          <w:bCs w:val="0"/>
          <w:spacing w:val="0"/>
          <w:sz w:val="24"/>
          <w:szCs w:val="24"/>
          <w:highlight w:val="none"/>
          <w:lang w:eastAsia="zh-CN"/>
        </w:rPr>
      </w:pPr>
      <w:r>
        <w:rPr>
          <w:rFonts w:hint="eastAsia" w:ascii="仿宋_GB2312" w:hAnsi="仿宋_GB2312" w:eastAsia="仿宋_GB2312" w:cs="仿宋_GB2312"/>
          <w:b w:val="0"/>
          <w:bCs w:val="0"/>
          <w:spacing w:val="0"/>
          <w:sz w:val="24"/>
          <w:szCs w:val="24"/>
          <w:highlight w:val="none"/>
        </w:rPr>
        <w:t>3、</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val="0"/>
          <w:bCs w:val="0"/>
          <w:spacing w:val="0"/>
          <w:sz w:val="24"/>
          <w:szCs w:val="24"/>
          <w:highlight w:val="none"/>
        </w:rPr>
        <w:t>交付条件：</w:t>
      </w:r>
      <w:r>
        <w:rPr>
          <w:rStyle w:val="24"/>
          <w:rFonts w:hint="eastAsia" w:ascii="仿宋_GB2312" w:hAnsi="仿宋_GB2312" w:eastAsia="仿宋_GB2312" w:cs="仿宋_GB2312"/>
          <w:b w:val="0"/>
          <w:bCs w:val="0"/>
          <w:i w:val="0"/>
          <w:iCs w:val="0"/>
          <w:caps w:val="0"/>
          <w:color w:val="393939"/>
          <w:spacing w:val="0"/>
          <w:sz w:val="24"/>
          <w:szCs w:val="24"/>
          <w:highlight w:val="none"/>
          <w:shd w:val="clear" w:fill="FFFFFF"/>
        </w:rPr>
        <w:t>所有货物交货完毕并经验收合格</w:t>
      </w:r>
      <w:r>
        <w:rPr>
          <w:rFonts w:hint="eastAsia" w:ascii="仿宋_GB2312" w:hAnsi="仿宋_GB2312" w:eastAsia="仿宋_GB2312" w:cs="仿宋_GB2312"/>
          <w:b w:val="0"/>
          <w:bCs w:val="0"/>
          <w:spacing w:val="0"/>
          <w:sz w:val="24"/>
          <w:szCs w:val="24"/>
          <w:highlight w:val="none"/>
        </w:rPr>
        <w:t>。</w:t>
      </w:r>
    </w:p>
    <w:p w14:paraId="0477BE01">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4、</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spacing w:val="0"/>
          <w:sz w:val="24"/>
          <w:szCs w:val="24"/>
          <w:highlight w:val="none"/>
        </w:rPr>
        <w:t xml:space="preserve">是否收取履约保证金： </w:t>
      </w:r>
      <w:r>
        <w:rPr>
          <w:rFonts w:hint="eastAsia" w:ascii="仿宋_GB2312" w:hAnsi="仿宋_GB2312" w:eastAsia="仿宋_GB2312" w:cs="仿宋_GB2312"/>
          <w:spacing w:val="0"/>
          <w:sz w:val="24"/>
          <w:szCs w:val="24"/>
          <w:highlight w:val="none"/>
          <w:lang w:val="en-US" w:eastAsia="zh-CN"/>
        </w:rPr>
        <w:t>否。</w:t>
      </w:r>
    </w:p>
    <w:p w14:paraId="183C1DE4">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仿宋_GB2312" w:hAnsi="仿宋_GB2312" w:eastAsia="仿宋_GB2312" w:cs="仿宋_GB2312"/>
          <w:spacing w:val="0"/>
          <w:sz w:val="24"/>
          <w:szCs w:val="24"/>
          <w:highlight w:val="none"/>
          <w:lang w:eastAsia="zh-CN"/>
        </w:rPr>
      </w:pPr>
      <w:r>
        <w:rPr>
          <w:rFonts w:hint="eastAsia" w:ascii="仿宋_GB2312" w:hAnsi="仿宋_GB2312" w:eastAsia="仿宋_GB2312" w:cs="仿宋_GB2312"/>
          <w:spacing w:val="0"/>
          <w:sz w:val="24"/>
          <w:szCs w:val="24"/>
          <w:highlight w:val="none"/>
        </w:rPr>
        <w:t>5、</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spacing w:val="0"/>
          <w:sz w:val="24"/>
          <w:szCs w:val="24"/>
          <w:highlight w:val="none"/>
        </w:rPr>
        <w:t>是否邀请投标人参与验收：否</w:t>
      </w:r>
    </w:p>
    <w:p w14:paraId="34EB6568">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rPr>
        <w:t>6、</w:t>
      </w:r>
      <w:r>
        <w:rPr>
          <w:rFonts w:hint="eastAsia" w:ascii="宋体" w:hAnsi="宋体" w:eastAsia="宋体" w:cs="宋体"/>
          <w:b/>
          <w:bCs/>
          <w:color w:val="auto"/>
          <w:sz w:val="24"/>
          <w:szCs w:val="24"/>
          <w:highlight w:val="none"/>
          <w:lang w:val="en-US" w:eastAsia="zh-CN"/>
        </w:rPr>
        <w:t>★</w:t>
      </w:r>
      <w:r>
        <w:rPr>
          <w:rFonts w:hint="eastAsia" w:asciiTheme="minorEastAsia" w:hAnsiTheme="minorEastAsia" w:eastAsiaTheme="minorEastAsia" w:cstheme="minorEastAsia"/>
          <w:spacing w:val="0"/>
          <w:sz w:val="24"/>
          <w:szCs w:val="24"/>
          <w:highlight w:val="none"/>
          <w:lang w:eastAsia="zh-CN"/>
        </w:rPr>
        <w:t>付款条件</w:t>
      </w:r>
    </w:p>
    <w:p w14:paraId="262444B9">
      <w:pPr>
        <w:pStyle w:val="8"/>
        <w:numPr>
          <w:ilvl w:val="0"/>
          <w:numId w:val="0"/>
        </w:numPr>
        <w:ind w:left="0" w:firstLine="480"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Cs/>
          <w:sz w:val="24"/>
          <w:highlight w:val="none"/>
          <w:lang w:eastAsia="zh-CN"/>
        </w:rPr>
        <w:t>合同签订后，甲方资金到位后，且收到乙方开具的等额</w:t>
      </w:r>
      <w:r>
        <w:rPr>
          <w:rFonts w:hint="eastAsia" w:ascii="仿宋_GB2312" w:hAnsi="仿宋_GB2312" w:eastAsia="仿宋_GB2312" w:cs="仿宋_GB2312"/>
          <w:bCs/>
          <w:sz w:val="24"/>
          <w:highlight w:val="none"/>
          <w:lang w:val="en-US" w:eastAsia="zh-CN"/>
        </w:rPr>
        <w:t>增值税专</w:t>
      </w:r>
      <w:r>
        <w:rPr>
          <w:rFonts w:hint="eastAsia" w:ascii="仿宋_GB2312" w:hAnsi="仿宋_GB2312" w:eastAsia="仿宋_GB2312" w:cs="仿宋_GB2312"/>
          <w:bCs/>
          <w:sz w:val="24"/>
          <w:highlight w:val="none"/>
          <w:lang w:eastAsia="zh-CN"/>
        </w:rPr>
        <w:t>票后10日内，</w:t>
      </w:r>
      <w:r>
        <w:rPr>
          <w:rFonts w:hint="eastAsia" w:ascii="仿宋_GB2312" w:hAnsi="仿宋_GB2312" w:eastAsia="仿宋_GB2312" w:cs="仿宋_GB2312"/>
          <w:bCs/>
          <w:sz w:val="24"/>
          <w:highlight w:val="none"/>
          <w:lang w:val="en-US" w:eastAsia="zh-CN"/>
        </w:rPr>
        <w:t>按照下表方式支付。</w:t>
      </w:r>
    </w:p>
    <w:tbl>
      <w:tblPr>
        <w:tblStyle w:val="21"/>
        <w:tblW w:w="9331" w:type="dxa"/>
        <w:jc w:val="center"/>
        <w:tblLayout w:type="fixed"/>
        <w:tblCellMar>
          <w:top w:w="0" w:type="dxa"/>
          <w:left w:w="10" w:type="dxa"/>
          <w:bottom w:w="0" w:type="dxa"/>
          <w:right w:w="10" w:type="dxa"/>
        </w:tblCellMar>
      </w:tblPr>
      <w:tblGrid>
        <w:gridCol w:w="1096"/>
        <w:gridCol w:w="1533"/>
        <w:gridCol w:w="6702"/>
      </w:tblGrid>
      <w:tr w14:paraId="01338F4C">
        <w:tblPrEx>
          <w:tblCellMar>
            <w:top w:w="0" w:type="dxa"/>
            <w:left w:w="10" w:type="dxa"/>
            <w:bottom w:w="0" w:type="dxa"/>
            <w:right w:w="10" w:type="dxa"/>
          </w:tblCellMar>
        </w:tblPrEx>
        <w:trPr>
          <w:tblHeader/>
          <w:jc w:val="center"/>
        </w:trPr>
        <w:tc>
          <w:tcPr>
            <w:tcW w:w="1096" w:type="dxa"/>
            <w:tcBorders>
              <w:top w:val="single" w:color="auto" w:sz="4" w:space="0"/>
              <w:left w:val="single" w:color="auto" w:sz="4" w:space="0"/>
            </w:tcBorders>
            <w:shd w:val="clear" w:color="auto" w:fill="FFFFFF"/>
            <w:noWrap w:val="0"/>
            <w:vAlign w:val="center"/>
          </w:tcPr>
          <w:p w14:paraId="66609712">
            <w:pPr>
              <w:pStyle w:val="4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63" w:rightChars="30" w:firstLine="0" w:firstLineChars="0"/>
              <w:jc w:val="center"/>
              <w:textAlignment w:val="auto"/>
              <w:rPr>
                <w:rFonts w:hint="eastAsia" w:ascii="仿宋_GB2312" w:hAnsi="仿宋_GB2312" w:eastAsia="仿宋_GB2312" w:cs="仿宋_GB2312"/>
                <w:b/>
                <w:bCs/>
                <w:color w:val="auto"/>
                <w:sz w:val="24"/>
                <w:szCs w:val="24"/>
                <w:highlight w:val="none"/>
                <w:lang w:eastAsia="zh-Hans"/>
              </w:rPr>
            </w:pPr>
            <w:r>
              <w:rPr>
                <w:rFonts w:hint="eastAsia" w:ascii="仿宋_GB2312" w:hAnsi="仿宋_GB2312" w:eastAsia="仿宋_GB2312" w:cs="仿宋_GB2312"/>
                <w:b/>
                <w:bCs/>
                <w:color w:val="auto"/>
                <w:sz w:val="24"/>
                <w:szCs w:val="24"/>
                <w:highlight w:val="none"/>
                <w:lang w:eastAsia="zh-CN"/>
              </w:rPr>
              <w:t>支付期次</w:t>
            </w:r>
          </w:p>
        </w:tc>
        <w:tc>
          <w:tcPr>
            <w:tcW w:w="1533" w:type="dxa"/>
            <w:tcBorders>
              <w:top w:val="single" w:color="auto" w:sz="4" w:space="0"/>
              <w:left w:val="single" w:color="auto" w:sz="4" w:space="0"/>
              <w:right w:val="single" w:color="auto" w:sz="4" w:space="0"/>
            </w:tcBorders>
            <w:shd w:val="clear" w:color="auto" w:fill="FFFFFF"/>
            <w:noWrap w:val="0"/>
            <w:vAlign w:val="center"/>
          </w:tcPr>
          <w:p w14:paraId="6CEA897A">
            <w:pPr>
              <w:pStyle w:val="4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63" w:rightChars="30" w:firstLine="0" w:firstLineChars="0"/>
              <w:jc w:val="center"/>
              <w:textAlignment w:val="auto"/>
              <w:rPr>
                <w:rFonts w:hint="eastAsia" w:ascii="仿宋_GB2312" w:hAnsi="仿宋_GB2312" w:eastAsia="仿宋_GB2312" w:cs="仿宋_GB2312"/>
                <w:b/>
                <w:bCs/>
                <w:color w:val="auto"/>
                <w:sz w:val="24"/>
                <w:szCs w:val="24"/>
                <w:highlight w:val="none"/>
                <w:lang w:eastAsia="zh-Hans"/>
              </w:rPr>
            </w:pPr>
            <w:r>
              <w:rPr>
                <w:rFonts w:hint="eastAsia" w:ascii="仿宋_GB2312" w:hAnsi="仿宋_GB2312" w:eastAsia="仿宋_GB2312" w:cs="仿宋_GB2312"/>
                <w:b/>
                <w:bCs/>
                <w:color w:val="auto"/>
                <w:sz w:val="24"/>
                <w:szCs w:val="24"/>
                <w:highlight w:val="none"/>
                <w:lang w:eastAsia="zh-CN"/>
              </w:rPr>
              <w:t>支付比例(%)</w:t>
            </w:r>
          </w:p>
        </w:tc>
        <w:tc>
          <w:tcPr>
            <w:tcW w:w="6702" w:type="dxa"/>
            <w:tcBorders>
              <w:top w:val="single" w:color="auto" w:sz="4" w:space="0"/>
              <w:left w:val="single" w:color="auto" w:sz="4" w:space="0"/>
              <w:right w:val="single" w:color="auto" w:sz="4" w:space="0"/>
            </w:tcBorders>
            <w:shd w:val="clear" w:color="auto" w:fill="FFFFFF"/>
            <w:noWrap w:val="0"/>
            <w:vAlign w:val="center"/>
          </w:tcPr>
          <w:p w14:paraId="2E285138">
            <w:pPr>
              <w:pStyle w:val="4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63" w:rightChars="30" w:firstLine="0" w:firstLineChars="0"/>
              <w:jc w:val="center"/>
              <w:textAlignment w:val="auto"/>
              <w:rPr>
                <w:rFonts w:hint="eastAsia" w:ascii="仿宋_GB2312" w:hAnsi="仿宋_GB2312" w:eastAsia="仿宋_GB2312" w:cs="仿宋_GB2312"/>
                <w:b/>
                <w:bCs/>
                <w:color w:val="auto"/>
                <w:sz w:val="24"/>
                <w:szCs w:val="24"/>
                <w:highlight w:val="none"/>
                <w:lang w:eastAsia="zh-Hans"/>
              </w:rPr>
            </w:pPr>
            <w:r>
              <w:rPr>
                <w:rFonts w:hint="eastAsia" w:ascii="仿宋_GB2312" w:hAnsi="仿宋_GB2312" w:eastAsia="仿宋_GB2312" w:cs="仿宋_GB2312"/>
                <w:b/>
                <w:bCs/>
                <w:color w:val="auto"/>
                <w:sz w:val="24"/>
                <w:szCs w:val="24"/>
                <w:highlight w:val="none"/>
                <w:lang w:eastAsia="zh-CN"/>
              </w:rPr>
              <w:t>支付期次说明</w:t>
            </w:r>
          </w:p>
        </w:tc>
      </w:tr>
      <w:tr w14:paraId="39CDD340">
        <w:tblPrEx>
          <w:tblCellMar>
            <w:top w:w="0" w:type="dxa"/>
            <w:left w:w="10" w:type="dxa"/>
            <w:bottom w:w="0" w:type="dxa"/>
            <w:right w:w="10" w:type="dxa"/>
          </w:tblCellMar>
        </w:tblPrEx>
        <w:trPr>
          <w:trHeight w:val="657" w:hRule="atLeast"/>
          <w:jc w:val="center"/>
        </w:trPr>
        <w:tc>
          <w:tcPr>
            <w:tcW w:w="1096" w:type="dxa"/>
            <w:tcBorders>
              <w:top w:val="single" w:color="auto" w:sz="4" w:space="0"/>
              <w:left w:val="single" w:color="auto" w:sz="4" w:space="0"/>
              <w:bottom w:val="single" w:color="auto" w:sz="4" w:space="0"/>
            </w:tcBorders>
            <w:shd w:val="clear" w:color="auto" w:fill="FFFFFF"/>
            <w:noWrap w:val="0"/>
            <w:vAlign w:val="center"/>
          </w:tcPr>
          <w:p w14:paraId="29163D63">
            <w:pPr>
              <w:pStyle w:val="4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63" w:rightChars="30" w:firstLine="0" w:firstLineChars="0"/>
              <w:jc w:val="center"/>
              <w:textAlignment w:val="auto"/>
              <w:rPr>
                <w:rFonts w:hint="eastAsia" w:ascii="仿宋_GB2312" w:hAnsi="仿宋_GB2312" w:eastAsia="仿宋_GB2312" w:cs="仿宋_GB2312"/>
                <w:b w:val="0"/>
                <w:bCs w:val="0"/>
                <w:color w:val="auto"/>
                <w:sz w:val="24"/>
                <w:szCs w:val="24"/>
                <w:highlight w:val="none"/>
                <w:u w:val="no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bidi="ar-SA"/>
              </w:rPr>
              <w:t>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91C9CC">
            <w:pPr>
              <w:spacing w:line="360" w:lineRule="auto"/>
              <w:ind w:left="0" w:leftChars="0" w:firstLine="0" w:firstLineChars="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6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9790E0">
            <w:pPr>
              <w:pStyle w:val="48"/>
              <w:numPr>
                <w:ilvl w:val="0"/>
                <w:numId w:val="0"/>
              </w:numPr>
              <w:spacing w:before="120" w:after="120"/>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eastAsia="zh-CN" w:bidi="ar-SA"/>
              </w:rPr>
              <w:t>合同签订后</w:t>
            </w:r>
            <w:r>
              <w:rPr>
                <w:rFonts w:hint="eastAsia" w:ascii="仿宋_GB2312" w:hAnsi="仿宋_GB2312" w:eastAsia="仿宋_GB2312" w:cs="仿宋_GB2312"/>
                <w:color w:val="000000"/>
                <w:kern w:val="2"/>
                <w:sz w:val="24"/>
                <w:szCs w:val="24"/>
                <w:highlight w:val="none"/>
                <w:lang w:val="en-US" w:eastAsia="zh-CN" w:bidi="ar-SA"/>
              </w:rPr>
              <w:t>10日内，</w:t>
            </w:r>
            <w:r>
              <w:rPr>
                <w:rFonts w:hint="eastAsia" w:ascii="仿宋_GB2312" w:hAnsi="仿宋_GB2312" w:eastAsia="仿宋_GB2312" w:cs="仿宋_GB2312"/>
                <w:sz w:val="24"/>
                <w:szCs w:val="24"/>
                <w:highlight w:val="none"/>
                <w:lang w:eastAsia="zh-CN"/>
              </w:rPr>
              <w:t>支付合同总金额的10.00% ；</w:t>
            </w:r>
          </w:p>
        </w:tc>
      </w:tr>
      <w:tr w14:paraId="04C96026">
        <w:tblPrEx>
          <w:tblCellMar>
            <w:top w:w="0" w:type="dxa"/>
            <w:left w:w="10" w:type="dxa"/>
            <w:bottom w:w="0" w:type="dxa"/>
            <w:right w:w="10" w:type="dxa"/>
          </w:tblCellMar>
        </w:tblPrEx>
        <w:trPr>
          <w:trHeight w:val="1259" w:hRule="atLeast"/>
          <w:jc w:val="center"/>
        </w:trPr>
        <w:tc>
          <w:tcPr>
            <w:tcW w:w="1096" w:type="dxa"/>
            <w:tcBorders>
              <w:top w:val="single" w:color="auto" w:sz="4" w:space="0"/>
              <w:left w:val="single" w:color="auto" w:sz="4" w:space="0"/>
              <w:bottom w:val="single" w:color="auto" w:sz="4" w:space="0"/>
            </w:tcBorders>
            <w:shd w:val="clear" w:color="auto" w:fill="FFFFFF"/>
            <w:noWrap w:val="0"/>
            <w:vAlign w:val="center"/>
          </w:tcPr>
          <w:p w14:paraId="7FFBB927">
            <w:pPr>
              <w:pStyle w:val="4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63" w:rightChars="30" w:firstLine="0" w:firstLineChars="0"/>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DA5A5C">
            <w:pPr>
              <w:spacing w:line="360" w:lineRule="auto"/>
              <w:ind w:left="0" w:leftChars="0" w:firstLine="0" w:firstLineChars="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87</w:t>
            </w:r>
          </w:p>
        </w:tc>
        <w:tc>
          <w:tcPr>
            <w:tcW w:w="6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EAB30D">
            <w:pPr>
              <w:spacing w:line="360" w:lineRule="auto"/>
              <w:ind w:left="0" w:leftChars="0" w:firstLine="480" w:firstLineChars="20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第三方检测机构出具检测报告后组织专家进行</w:t>
            </w:r>
            <w:r>
              <w:rPr>
                <w:rFonts w:hint="eastAsia" w:ascii="仿宋_GB2312" w:hAnsi="仿宋_GB2312" w:eastAsia="仿宋_GB2312" w:cs="仿宋_GB2312"/>
                <w:sz w:val="24"/>
                <w:szCs w:val="24"/>
                <w:highlight w:val="none"/>
                <w:lang w:eastAsia="zh-CN"/>
              </w:rPr>
              <w:t>终验</w:t>
            </w:r>
            <w:r>
              <w:rPr>
                <w:rFonts w:hint="eastAsia" w:ascii="仿宋_GB2312" w:hAnsi="仿宋_GB2312" w:eastAsia="仿宋_GB2312" w:cs="仿宋_GB2312"/>
                <w:sz w:val="24"/>
                <w:szCs w:val="24"/>
                <w:highlight w:val="none"/>
              </w:rPr>
              <w:t>验收且验收通过，达到付款条件起</w:t>
            </w:r>
            <w:r>
              <w:rPr>
                <w:rFonts w:hint="eastAsia" w:ascii="仿宋_GB2312" w:hAnsi="仿宋_GB2312" w:eastAsia="仿宋_GB2312" w:cs="仿宋_GB2312"/>
                <w:color w:val="000000"/>
                <w:kern w:val="2"/>
                <w:sz w:val="24"/>
                <w:szCs w:val="24"/>
                <w:highlight w:val="none"/>
                <w:lang w:val="en-US" w:eastAsia="zh-CN" w:bidi="ar-SA"/>
              </w:rPr>
              <w:t>10</w:t>
            </w:r>
            <w:r>
              <w:rPr>
                <w:rFonts w:hint="eastAsia" w:ascii="仿宋_GB2312" w:hAnsi="仿宋_GB2312" w:eastAsia="仿宋_GB2312" w:cs="仿宋_GB2312"/>
                <w:sz w:val="24"/>
                <w:szCs w:val="24"/>
                <w:highlight w:val="none"/>
              </w:rPr>
              <w:t>日内，支付合同总金额的</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7.00%</w:t>
            </w:r>
            <w:r>
              <w:rPr>
                <w:rFonts w:hint="eastAsia" w:ascii="仿宋_GB2312" w:hAnsi="仿宋_GB2312" w:eastAsia="仿宋_GB2312" w:cs="仿宋_GB2312"/>
                <w:sz w:val="24"/>
                <w:szCs w:val="24"/>
                <w:highlight w:val="none"/>
                <w:lang w:eastAsia="zh-CN"/>
              </w:rPr>
              <w:t>；</w:t>
            </w:r>
          </w:p>
        </w:tc>
      </w:tr>
      <w:tr w14:paraId="4A7898F7">
        <w:tblPrEx>
          <w:tblCellMar>
            <w:top w:w="0" w:type="dxa"/>
            <w:left w:w="10" w:type="dxa"/>
            <w:bottom w:w="0" w:type="dxa"/>
            <w:right w:w="10" w:type="dxa"/>
          </w:tblCellMar>
        </w:tblPrEx>
        <w:trPr>
          <w:trHeight w:val="590" w:hRule="atLeast"/>
          <w:jc w:val="center"/>
        </w:trPr>
        <w:tc>
          <w:tcPr>
            <w:tcW w:w="1096" w:type="dxa"/>
            <w:tcBorders>
              <w:top w:val="single" w:color="auto" w:sz="4" w:space="0"/>
              <w:left w:val="single" w:color="auto" w:sz="4" w:space="0"/>
              <w:bottom w:val="single" w:color="auto" w:sz="4" w:space="0"/>
            </w:tcBorders>
            <w:shd w:val="clear" w:color="auto" w:fill="FFFFFF"/>
            <w:noWrap w:val="0"/>
            <w:vAlign w:val="center"/>
          </w:tcPr>
          <w:p w14:paraId="02C48795">
            <w:pPr>
              <w:pStyle w:val="4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63" w:rightChars="30" w:firstLine="0" w:firstLineChars="0"/>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43AC99">
            <w:pPr>
              <w:spacing w:line="360" w:lineRule="auto"/>
              <w:ind w:left="0" w:leftChars="0" w:firstLine="0" w:firstLineChars="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6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937E6D">
            <w:pPr>
              <w:spacing w:line="360" w:lineRule="auto"/>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验收通过后，平台及</w:t>
            </w:r>
            <w:r>
              <w:rPr>
                <w:rFonts w:hint="eastAsia" w:ascii="仿宋_GB2312" w:hAnsi="仿宋_GB2312" w:eastAsia="仿宋_GB2312" w:cs="仿宋_GB2312"/>
                <w:sz w:val="24"/>
                <w:szCs w:val="24"/>
                <w:highlight w:val="none"/>
              </w:rPr>
              <w:t>设备运行满一年，经</w:t>
            </w:r>
            <w:r>
              <w:rPr>
                <w:rFonts w:hint="eastAsia" w:ascii="仿宋_GB2312" w:hAnsi="仿宋_GB2312" w:eastAsia="仿宋_GB2312" w:cs="仿宋_GB2312"/>
                <w:sz w:val="24"/>
                <w:szCs w:val="24"/>
                <w:highlight w:val="none"/>
                <w:lang w:val="en-US" w:eastAsia="zh-CN"/>
              </w:rPr>
              <w:t>甲方</w:t>
            </w:r>
            <w:r>
              <w:rPr>
                <w:rFonts w:hint="eastAsia" w:ascii="仿宋_GB2312" w:hAnsi="仿宋_GB2312" w:eastAsia="仿宋_GB2312" w:cs="仿宋_GB2312"/>
                <w:sz w:val="24"/>
                <w:szCs w:val="24"/>
                <w:highlight w:val="none"/>
              </w:rPr>
              <w:t>确认后，达到付款条件起</w:t>
            </w:r>
            <w:r>
              <w:rPr>
                <w:rFonts w:hint="eastAsia" w:ascii="仿宋_GB2312" w:hAnsi="仿宋_GB2312" w:eastAsia="仿宋_GB2312" w:cs="仿宋_GB2312"/>
                <w:color w:val="000000"/>
                <w:kern w:val="2"/>
                <w:sz w:val="24"/>
                <w:szCs w:val="24"/>
                <w:highlight w:val="none"/>
                <w:lang w:val="en-US" w:eastAsia="zh-CN" w:bidi="ar-SA"/>
              </w:rPr>
              <w:t>10</w:t>
            </w:r>
            <w:r>
              <w:rPr>
                <w:rFonts w:hint="eastAsia" w:ascii="仿宋_GB2312" w:hAnsi="仿宋_GB2312" w:eastAsia="仿宋_GB2312" w:cs="仿宋_GB2312"/>
                <w:sz w:val="24"/>
                <w:szCs w:val="24"/>
                <w:highlight w:val="none"/>
              </w:rPr>
              <w:t>日内，支付合同总金额的</w:t>
            </w:r>
            <w:r>
              <w:rPr>
                <w:rFonts w:hint="eastAsia" w:ascii="仿宋_GB2312" w:hAnsi="仿宋_GB2312" w:eastAsia="仿宋_GB2312" w:cs="仿宋_GB2312"/>
                <w:sz w:val="24"/>
                <w:szCs w:val="24"/>
                <w:highlight w:val="none"/>
                <w:lang w:eastAsia="zh-CN"/>
              </w:rPr>
              <w:t>3</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w:t>
            </w:r>
          </w:p>
        </w:tc>
      </w:tr>
    </w:tbl>
    <w:p w14:paraId="693CE471">
      <w:pPr>
        <w:pStyle w:val="16"/>
        <w:rPr>
          <w:rFonts w:hint="eastAsia"/>
          <w:highlight w:val="none"/>
        </w:rPr>
      </w:pPr>
    </w:p>
    <w:p w14:paraId="5823CC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highlight w:val="none"/>
        </w:rPr>
      </w:pPr>
      <w:r>
        <w:rPr>
          <w:rFonts w:hint="eastAsia" w:ascii="宋体" w:hAnsi="宋体" w:cs="宋体"/>
          <w:kern w:val="0"/>
          <w:sz w:val="24"/>
          <w:highlight w:val="none"/>
          <w:lang w:bidi="ar"/>
        </w:rPr>
        <w:br w:type="page"/>
      </w:r>
    </w:p>
    <w:p w14:paraId="53D6C905">
      <w:pPr>
        <w:pStyle w:val="3"/>
        <w:bidi w:val="0"/>
        <w:jc w:val="center"/>
        <w:rPr>
          <w:rFonts w:hint="eastAsia"/>
          <w:sz w:val="32"/>
          <w:szCs w:val="32"/>
          <w:highlight w:val="none"/>
        </w:rPr>
      </w:pPr>
      <w:bookmarkStart w:id="52" w:name="_Toc19395"/>
      <w:r>
        <w:rPr>
          <w:rFonts w:hint="eastAsia"/>
          <w:sz w:val="32"/>
          <w:szCs w:val="32"/>
          <w:highlight w:val="none"/>
        </w:rPr>
        <w:t>第四章</w:t>
      </w:r>
      <w:r>
        <w:rPr>
          <w:rFonts w:hint="eastAsia"/>
          <w:sz w:val="32"/>
          <w:szCs w:val="32"/>
          <w:highlight w:val="none"/>
          <w:lang w:val="en-US" w:eastAsia="zh-CN"/>
        </w:rPr>
        <w:t xml:space="preserve"> </w:t>
      </w:r>
      <w:r>
        <w:rPr>
          <w:rFonts w:hint="eastAsia"/>
          <w:sz w:val="32"/>
          <w:szCs w:val="32"/>
          <w:highlight w:val="none"/>
        </w:rPr>
        <w:t>  采购合同（参考文本）</w:t>
      </w:r>
      <w:bookmarkEnd w:id="52"/>
    </w:p>
    <w:p w14:paraId="4F6A51DC">
      <w:pPr>
        <w:pStyle w:val="10"/>
        <w:widowControl/>
        <w:kinsoku w:val="0"/>
        <w:autoSpaceDE w:val="0"/>
        <w:autoSpaceDN w:val="0"/>
        <w:adjustRightInd w:val="0"/>
        <w:snapToGrid w:val="0"/>
        <w:spacing w:line="520" w:lineRule="exact"/>
        <w:ind w:left="0" w:leftChars="0" w:firstLine="0" w:firstLineChars="0"/>
        <w:jc w:val="center"/>
        <w:textAlignment w:val="baseline"/>
        <w:rPr>
          <w:rStyle w:val="29"/>
          <w:rFonts w:hint="eastAsia"/>
          <w:highlight w:val="none"/>
        </w:rPr>
      </w:pPr>
      <w:bookmarkStart w:id="53" w:name="_Toc20377"/>
      <w:r>
        <w:rPr>
          <w:rStyle w:val="29"/>
          <w:rFonts w:hint="eastAsia"/>
          <w:highlight w:val="none"/>
        </w:rPr>
        <w:t>软件开发技术服务</w:t>
      </w:r>
      <w:r>
        <w:rPr>
          <w:rStyle w:val="29"/>
          <w:highlight w:val="none"/>
        </w:rPr>
        <w:t>合同</w:t>
      </w:r>
    </w:p>
    <w:bookmarkEnd w:id="53"/>
    <w:p w14:paraId="77329B30">
      <w:pPr>
        <w:spacing w:line="360" w:lineRule="auto"/>
        <w:rPr>
          <w:rFonts w:hint="eastAsia" w:ascii="Calibri" w:hAnsi="Calibri" w:eastAsia="宋体"/>
          <w:sz w:val="24"/>
          <w:highlight w:val="none"/>
          <w:lang w:eastAsia="zh-CN"/>
        </w:rPr>
      </w:pPr>
      <w:r>
        <w:rPr>
          <w:rFonts w:hint="eastAsia" w:ascii="Calibri" w:hAnsi="Calibri"/>
          <w:sz w:val="24"/>
          <w:highlight w:val="none"/>
          <w:lang w:eastAsia="zh-CN"/>
        </w:rPr>
        <w:t>甲方：</w:t>
      </w:r>
    </w:p>
    <w:p w14:paraId="4C9E3E89">
      <w:pPr>
        <w:spacing w:line="360" w:lineRule="auto"/>
        <w:rPr>
          <w:rFonts w:ascii="Calibri" w:hAnsi="Calibri"/>
          <w:sz w:val="24"/>
          <w:highlight w:val="none"/>
        </w:rPr>
      </w:pPr>
      <w:r>
        <w:rPr>
          <w:rFonts w:hint="eastAsia" w:ascii="Calibri" w:hAnsi="Calibri"/>
          <w:sz w:val="24"/>
          <w:highlight w:val="none"/>
        </w:rPr>
        <w:t>乙方：</w:t>
      </w:r>
    </w:p>
    <w:p w14:paraId="5F808358">
      <w:pPr>
        <w:spacing w:line="360" w:lineRule="auto"/>
        <w:ind w:firstLine="480" w:firstLineChars="200"/>
        <w:rPr>
          <w:rFonts w:ascii="Calibri" w:hAnsi="Calibri"/>
          <w:sz w:val="24"/>
          <w:highlight w:val="none"/>
        </w:rPr>
      </w:pPr>
      <w:r>
        <w:rPr>
          <w:rFonts w:hint="eastAsia" w:ascii="Calibri" w:hAnsi="Calibri"/>
          <w:sz w:val="24"/>
          <w:highlight w:val="none"/>
        </w:rPr>
        <w:t>根据项目编号为</w:t>
      </w:r>
      <w:r>
        <w:rPr>
          <w:rFonts w:ascii="Calibri" w:hAnsi="Calibri"/>
          <w:sz w:val="24"/>
          <w:highlight w:val="none"/>
          <w:u w:val="single"/>
        </w:rPr>
        <w:t xml:space="preserve"> </w:t>
      </w:r>
      <w:r>
        <w:rPr>
          <w:rFonts w:hint="eastAsia" w:ascii="Calibri" w:hAnsi="Calibri"/>
          <w:b/>
          <w:bCs/>
          <w:sz w:val="24"/>
          <w:highlight w:val="none"/>
          <w:u w:val="single"/>
          <w:lang w:val="en-US" w:eastAsia="zh-CN"/>
        </w:rPr>
        <w:t xml:space="preserve">      </w:t>
      </w:r>
      <w:r>
        <w:rPr>
          <w:rFonts w:ascii="Calibri" w:hAnsi="Calibri"/>
          <w:sz w:val="24"/>
          <w:highlight w:val="none"/>
          <w:u w:val="single"/>
        </w:rPr>
        <w:t xml:space="preserve"> </w:t>
      </w:r>
      <w:r>
        <w:rPr>
          <w:rFonts w:hint="eastAsia" w:ascii="Calibri" w:hAnsi="Calibri"/>
          <w:sz w:val="24"/>
          <w:highlight w:val="none"/>
        </w:rPr>
        <w:t>的</w:t>
      </w:r>
      <w:bookmarkStart w:id="54" w:name="OLE_LINK18"/>
      <w:r>
        <w:rPr>
          <w:rFonts w:hint="eastAsia" w:ascii="Calibri" w:hAnsi="Calibri"/>
          <w:sz w:val="24"/>
          <w:highlight w:val="none"/>
        </w:rPr>
        <w:t xml:space="preserve"> </w:t>
      </w:r>
      <w:bookmarkEnd w:id="54"/>
      <w:r>
        <w:rPr>
          <w:rFonts w:hint="eastAsia" w:ascii="Calibri" w:hAnsi="Calibri"/>
          <w:b/>
          <w:bCs/>
          <w:sz w:val="24"/>
          <w:highlight w:val="none"/>
          <w:u w:val="single"/>
          <w:lang w:val="en-US" w:eastAsia="zh-CN"/>
        </w:rPr>
        <w:t xml:space="preserve">           </w:t>
      </w:r>
      <w:r>
        <w:rPr>
          <w:rFonts w:hint="eastAsia" w:ascii="Calibri" w:hAnsi="Calibri"/>
          <w:sz w:val="24"/>
          <w:highlight w:val="none"/>
          <w:u w:val="single"/>
        </w:rPr>
        <w:t xml:space="preserve"> </w:t>
      </w:r>
      <w:r>
        <w:rPr>
          <w:rFonts w:hint="eastAsia" w:ascii="Calibri" w:hAnsi="Calibri"/>
          <w:sz w:val="24"/>
          <w:highlight w:val="none"/>
        </w:rPr>
        <w:t>项目（以下简称：“本项目”）的采购结果，乙方为成交人。依据《中华人民共和国民法典》，甲乙双方本着平等互利的原则，现经甲乙双方友好协商，就以下事项达成一致并签订本合同：</w:t>
      </w:r>
    </w:p>
    <w:p w14:paraId="3FFF48A4">
      <w:pPr>
        <w:spacing w:line="360" w:lineRule="auto"/>
        <w:outlineLvl w:val="1"/>
        <w:rPr>
          <w:rFonts w:ascii="Calibri" w:hAnsi="Calibri"/>
          <w:sz w:val="24"/>
          <w:highlight w:val="none"/>
        </w:rPr>
      </w:pPr>
      <w:r>
        <w:rPr>
          <w:rFonts w:hint="eastAsia" w:ascii="Calibri" w:hAnsi="Calibri"/>
          <w:sz w:val="24"/>
          <w:highlight w:val="none"/>
        </w:rPr>
        <w:t>1、下列合同文件是构成本合同不可分割的部分：</w:t>
      </w:r>
    </w:p>
    <w:p w14:paraId="2F028F13">
      <w:pPr>
        <w:spacing w:line="360" w:lineRule="auto"/>
        <w:rPr>
          <w:rFonts w:ascii="Calibri" w:hAnsi="Calibri"/>
          <w:sz w:val="24"/>
          <w:highlight w:val="none"/>
        </w:rPr>
      </w:pPr>
      <w:r>
        <w:rPr>
          <w:rFonts w:hint="eastAsia" w:ascii="Calibri" w:hAnsi="Calibri"/>
          <w:sz w:val="24"/>
          <w:highlight w:val="none"/>
        </w:rPr>
        <w:t>1.1合同条款；</w:t>
      </w:r>
    </w:p>
    <w:p w14:paraId="44AC783D">
      <w:pPr>
        <w:spacing w:line="360" w:lineRule="auto"/>
        <w:rPr>
          <w:rFonts w:ascii="Calibri" w:hAnsi="Calibri"/>
          <w:sz w:val="24"/>
          <w:highlight w:val="none"/>
        </w:rPr>
      </w:pPr>
      <w:r>
        <w:rPr>
          <w:rFonts w:hint="eastAsia" w:ascii="Calibri" w:hAnsi="Calibri"/>
          <w:sz w:val="24"/>
          <w:highlight w:val="none"/>
        </w:rPr>
        <w:t>1.2招标文件、乙方的响应文件；</w:t>
      </w:r>
    </w:p>
    <w:p w14:paraId="626C304E">
      <w:pPr>
        <w:spacing w:line="360" w:lineRule="auto"/>
        <w:outlineLvl w:val="1"/>
        <w:rPr>
          <w:rFonts w:hint="eastAsia"/>
          <w:sz w:val="24"/>
          <w:szCs w:val="24"/>
          <w:highlight w:val="none"/>
        </w:rPr>
      </w:pPr>
      <w:r>
        <w:rPr>
          <w:rFonts w:hint="eastAsia" w:ascii="Calibri" w:hAnsi="Calibri"/>
          <w:sz w:val="24"/>
          <w:highlight w:val="none"/>
        </w:rPr>
        <w:t>2、合同标的</w:t>
      </w:r>
    </w:p>
    <w:p w14:paraId="1ED8F270">
      <w:pPr>
        <w:spacing w:line="360" w:lineRule="auto"/>
        <w:outlineLvl w:val="1"/>
        <w:rPr>
          <w:rFonts w:ascii="Calibri" w:hAnsi="Calibri"/>
          <w:sz w:val="24"/>
          <w:highlight w:val="none"/>
        </w:rPr>
      </w:pPr>
      <w:r>
        <w:rPr>
          <w:rFonts w:hint="eastAsia" w:ascii="Calibri" w:hAnsi="Calibri"/>
          <w:sz w:val="24"/>
          <w:highlight w:val="none"/>
        </w:rPr>
        <w:t>3、合同总金额</w:t>
      </w:r>
    </w:p>
    <w:p w14:paraId="453EA796">
      <w:pPr>
        <w:spacing w:line="360" w:lineRule="auto"/>
        <w:rPr>
          <w:rFonts w:ascii="Calibri" w:hAnsi="Calibri"/>
          <w:sz w:val="24"/>
          <w:highlight w:val="none"/>
        </w:rPr>
      </w:pPr>
      <w:r>
        <w:rPr>
          <w:rFonts w:hint="eastAsia" w:ascii="Calibri" w:hAnsi="Calibri"/>
          <w:sz w:val="24"/>
          <w:highlight w:val="none"/>
        </w:rPr>
        <w:t>3.1合同总金额为人民币大写：（</w:t>
      </w:r>
      <w:r>
        <w:rPr>
          <w:rFonts w:hint="eastAsia" w:ascii="Calibri" w:hAnsi="Calibri"/>
          <w:sz w:val="24"/>
          <w:highlight w:val="none"/>
          <w:u w:val="single"/>
        </w:rPr>
        <w:t>￥</w:t>
      </w:r>
      <w:r>
        <w:rPr>
          <w:rFonts w:hint="eastAsia" w:ascii="Calibri" w:hAnsi="Calibri"/>
          <w:sz w:val="24"/>
          <w:highlight w:val="none"/>
          <w:u w:val="single"/>
          <w:lang w:val="en-US" w:eastAsia="zh-CN"/>
        </w:rPr>
        <w:t xml:space="preserve">   </w:t>
      </w:r>
      <w:r>
        <w:rPr>
          <w:rFonts w:hint="eastAsia" w:ascii="Calibri" w:hAnsi="Calibri"/>
          <w:sz w:val="24"/>
          <w:highlight w:val="none"/>
        </w:rPr>
        <w:t>）。</w:t>
      </w:r>
    </w:p>
    <w:p w14:paraId="6296B58C">
      <w:pPr>
        <w:spacing w:line="360" w:lineRule="auto"/>
        <w:outlineLvl w:val="1"/>
        <w:rPr>
          <w:rFonts w:ascii="Calibri" w:hAnsi="Calibri"/>
          <w:sz w:val="24"/>
          <w:highlight w:val="none"/>
        </w:rPr>
      </w:pPr>
      <w:r>
        <w:rPr>
          <w:rFonts w:hint="eastAsia" w:ascii="Calibri" w:hAnsi="Calibri"/>
          <w:sz w:val="24"/>
          <w:highlight w:val="none"/>
        </w:rPr>
        <w:t>4、合同标的交付时间、地点和条件</w:t>
      </w:r>
    </w:p>
    <w:p w14:paraId="7D00341B">
      <w:pPr>
        <w:spacing w:line="360" w:lineRule="auto"/>
        <w:rPr>
          <w:rFonts w:ascii="Calibri" w:hAnsi="Calibri"/>
          <w:sz w:val="24"/>
          <w:highlight w:val="none"/>
        </w:rPr>
      </w:pPr>
      <w:r>
        <w:rPr>
          <w:rFonts w:hint="eastAsia" w:ascii="Calibri" w:hAnsi="Calibri"/>
          <w:sz w:val="24"/>
          <w:highlight w:val="none"/>
        </w:rPr>
        <w:t>4.1交付时间：</w:t>
      </w:r>
      <w:r>
        <w:rPr>
          <w:rStyle w:val="24"/>
          <w:rFonts w:hint="eastAsia" w:hAnsi="宋体"/>
          <w:highlight w:val="none"/>
        </w:rPr>
        <w:t>合同签订后</w:t>
      </w:r>
      <w:r>
        <w:rPr>
          <w:rStyle w:val="24"/>
          <w:rFonts w:hint="eastAsia" w:hAnsi="宋体"/>
          <w:highlight w:val="none"/>
          <w:lang w:val="en-US" w:eastAsia="zh-CN"/>
        </w:rPr>
        <w:t>30</w:t>
      </w:r>
      <w:r>
        <w:rPr>
          <w:rStyle w:val="24"/>
          <w:rFonts w:hint="eastAsia" w:hAnsi="宋体"/>
          <w:highlight w:val="none"/>
        </w:rPr>
        <w:t>天内</w:t>
      </w:r>
      <w:r>
        <w:rPr>
          <w:rFonts w:hint="eastAsia" w:ascii="Calibri" w:hAnsi="Calibri"/>
          <w:sz w:val="24"/>
          <w:highlight w:val="none"/>
        </w:rPr>
        <w:t>；</w:t>
      </w:r>
    </w:p>
    <w:p w14:paraId="5EABDE52">
      <w:pPr>
        <w:spacing w:line="360" w:lineRule="auto"/>
        <w:rPr>
          <w:rFonts w:ascii="Calibri" w:hAnsi="Calibri"/>
          <w:sz w:val="24"/>
          <w:highlight w:val="none"/>
        </w:rPr>
      </w:pPr>
      <w:r>
        <w:rPr>
          <w:rFonts w:hint="eastAsia" w:ascii="Calibri" w:hAnsi="Calibri"/>
          <w:sz w:val="24"/>
          <w:highlight w:val="none"/>
        </w:rPr>
        <w:t>4.2交付地点：</w:t>
      </w:r>
      <w:r>
        <w:rPr>
          <w:rStyle w:val="24"/>
          <w:rFonts w:hint="eastAsia" w:hAnsi="宋体"/>
          <w:highlight w:val="none"/>
        </w:rPr>
        <w:t>甲方指定地点</w:t>
      </w:r>
      <w:r>
        <w:rPr>
          <w:rFonts w:hint="eastAsia" w:ascii="Calibri" w:hAnsi="Calibri"/>
          <w:sz w:val="24"/>
          <w:highlight w:val="none"/>
        </w:rPr>
        <w:t>；</w:t>
      </w:r>
    </w:p>
    <w:p w14:paraId="4C3AABBD">
      <w:pPr>
        <w:spacing w:line="360" w:lineRule="auto"/>
        <w:rPr>
          <w:rFonts w:ascii="Calibri" w:hAnsi="Calibri"/>
          <w:sz w:val="24"/>
          <w:highlight w:val="none"/>
        </w:rPr>
      </w:pPr>
      <w:r>
        <w:rPr>
          <w:rFonts w:hint="eastAsia" w:ascii="Calibri" w:hAnsi="Calibri"/>
          <w:sz w:val="24"/>
          <w:highlight w:val="none"/>
        </w:rPr>
        <w:t>4.3交付条件：</w:t>
      </w:r>
      <w:r>
        <w:rPr>
          <w:rStyle w:val="24"/>
          <w:rFonts w:hint="eastAsia" w:hAnsi="宋体"/>
          <w:highlight w:val="none"/>
        </w:rPr>
        <w:t>验收合格</w:t>
      </w:r>
      <w:r>
        <w:rPr>
          <w:rFonts w:hint="eastAsia" w:ascii="Calibri" w:hAnsi="Calibri"/>
          <w:sz w:val="24"/>
          <w:highlight w:val="none"/>
        </w:rPr>
        <w:t>。</w:t>
      </w:r>
    </w:p>
    <w:p w14:paraId="7AD243DF">
      <w:pPr>
        <w:pStyle w:val="30"/>
        <w:numPr>
          <w:ilvl w:val="0"/>
          <w:numId w:val="10"/>
        </w:numPr>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合同标的应符合采购文件、乙方响应文件的规定或约定，具体如下：</w:t>
      </w:r>
    </w:p>
    <w:p w14:paraId="6CBA62E6">
      <w:pPr>
        <w:spacing w:line="360" w:lineRule="auto"/>
        <w:outlineLvl w:val="1"/>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6、验收</w:t>
      </w:r>
    </w:p>
    <w:p w14:paraId="742E588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6.1验收应按照采购文件、乙方响应文件的规定或约定进行，具体如下：</w:t>
      </w:r>
    </w:p>
    <w:p w14:paraId="1DC9C196">
      <w:pPr>
        <w:pStyle w:val="18"/>
        <w:spacing w:before="75" w:beforeAutospacing="0" w:after="75" w:afterAutospacing="0" w:line="360" w:lineRule="auto"/>
        <w:ind w:firstLine="48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验收标准：根据本项目招标文件、中标方投标文件、承诺及有关国家、行业规定且项目通过第三方检测机构出具检测报告后组织专家进行验收。</w:t>
      </w:r>
    </w:p>
    <w:p w14:paraId="0811A392">
      <w:pPr>
        <w:spacing w:line="360" w:lineRule="auto"/>
        <w:outlineLvl w:val="1"/>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7、合同款项的支付按照招标文件的规定进行，具体如下：</w:t>
      </w:r>
    </w:p>
    <w:p w14:paraId="1188F982">
      <w:pPr>
        <w:spacing w:line="360" w:lineRule="auto"/>
        <w:outlineLvl w:val="1"/>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甲方开票信息：</w:t>
      </w:r>
    </w:p>
    <w:p w14:paraId="26CDE3EC">
      <w:pPr>
        <w:spacing w:line="360" w:lineRule="auto"/>
        <w:outlineLvl w:val="1"/>
        <w:rPr>
          <w:rFonts w:ascii="Calibri" w:hAnsi="Calibri"/>
          <w:sz w:val="24"/>
          <w:highlight w:val="none"/>
        </w:rPr>
      </w:pPr>
      <w:r>
        <w:rPr>
          <w:rFonts w:ascii="Calibri" w:hAnsi="Calibri"/>
          <w:sz w:val="24"/>
          <w:highlight w:val="none"/>
        </w:rPr>
        <w:t>名称：</w:t>
      </w:r>
    </w:p>
    <w:p w14:paraId="1AD65832">
      <w:pPr>
        <w:spacing w:line="360" w:lineRule="auto"/>
        <w:outlineLvl w:val="1"/>
        <w:rPr>
          <w:rFonts w:ascii="Calibri" w:hAnsi="Calibri"/>
          <w:sz w:val="24"/>
          <w:highlight w:val="none"/>
        </w:rPr>
      </w:pPr>
      <w:r>
        <w:rPr>
          <w:rFonts w:ascii="Calibri" w:hAnsi="Calibri"/>
          <w:sz w:val="24"/>
          <w:highlight w:val="none"/>
        </w:rPr>
        <w:t>税号：</w:t>
      </w:r>
    </w:p>
    <w:p w14:paraId="1DFF08C9">
      <w:pPr>
        <w:spacing w:line="360" w:lineRule="auto"/>
        <w:outlineLvl w:val="1"/>
        <w:rPr>
          <w:rFonts w:ascii="Calibri" w:hAnsi="Calibri"/>
          <w:sz w:val="24"/>
          <w:highlight w:val="none"/>
        </w:rPr>
      </w:pPr>
      <w:r>
        <w:rPr>
          <w:rFonts w:ascii="Calibri" w:hAnsi="Calibri"/>
          <w:sz w:val="24"/>
          <w:highlight w:val="none"/>
        </w:rPr>
        <w:t>地址电话：</w:t>
      </w:r>
    </w:p>
    <w:p w14:paraId="517C8FA3">
      <w:pPr>
        <w:spacing w:line="360" w:lineRule="auto"/>
        <w:outlineLvl w:val="1"/>
        <w:rPr>
          <w:rFonts w:ascii="Calibri" w:hAnsi="Calibri"/>
          <w:sz w:val="24"/>
          <w:highlight w:val="none"/>
        </w:rPr>
      </w:pPr>
      <w:r>
        <w:rPr>
          <w:rFonts w:ascii="Calibri" w:hAnsi="Calibri"/>
          <w:sz w:val="24"/>
          <w:highlight w:val="none"/>
        </w:rPr>
        <w:t>开户银行账户：</w:t>
      </w:r>
    </w:p>
    <w:p w14:paraId="6E7AA8D0">
      <w:pPr>
        <w:spacing w:line="360" w:lineRule="auto"/>
        <w:outlineLvl w:val="1"/>
        <w:rPr>
          <w:rFonts w:hint="eastAsia"/>
          <w:highlight w:val="none"/>
        </w:rPr>
      </w:pPr>
      <w:r>
        <w:rPr>
          <w:rFonts w:hint="eastAsia" w:ascii="Calibri" w:hAnsi="Calibri"/>
          <w:sz w:val="24"/>
          <w:highlight w:val="none"/>
        </w:rPr>
        <w:t>乙方开票信息：</w:t>
      </w:r>
    </w:p>
    <w:p w14:paraId="0542F0E3">
      <w:pPr>
        <w:widowControl/>
        <w:spacing w:line="360" w:lineRule="auto"/>
        <w:jc w:val="left"/>
        <w:outlineLvl w:val="1"/>
        <w:rPr>
          <w:rFonts w:ascii="Calibri" w:hAnsi="Calibri"/>
          <w:sz w:val="24"/>
          <w:highlight w:val="none"/>
        </w:rPr>
      </w:pPr>
      <w:r>
        <w:rPr>
          <w:rFonts w:ascii="Calibri" w:hAnsi="Calibri"/>
          <w:sz w:val="24"/>
          <w:highlight w:val="none"/>
        </w:rPr>
        <w:t>名称：</w:t>
      </w:r>
    </w:p>
    <w:p w14:paraId="3F6E579A">
      <w:pPr>
        <w:widowControl/>
        <w:spacing w:line="360" w:lineRule="auto"/>
        <w:jc w:val="left"/>
        <w:outlineLvl w:val="1"/>
        <w:rPr>
          <w:rFonts w:ascii="Calibri" w:hAnsi="Calibri"/>
          <w:sz w:val="24"/>
          <w:highlight w:val="none"/>
        </w:rPr>
      </w:pPr>
      <w:r>
        <w:rPr>
          <w:rFonts w:ascii="Calibri" w:hAnsi="Calibri"/>
          <w:sz w:val="24"/>
          <w:highlight w:val="none"/>
        </w:rPr>
        <w:t>税号：</w:t>
      </w:r>
    </w:p>
    <w:p w14:paraId="33E5A6EF">
      <w:pPr>
        <w:widowControl/>
        <w:spacing w:line="360" w:lineRule="auto"/>
        <w:jc w:val="left"/>
        <w:outlineLvl w:val="1"/>
        <w:rPr>
          <w:rFonts w:ascii="Calibri" w:hAnsi="Calibri"/>
          <w:sz w:val="24"/>
          <w:highlight w:val="none"/>
        </w:rPr>
      </w:pPr>
      <w:r>
        <w:rPr>
          <w:rFonts w:ascii="Calibri" w:hAnsi="Calibri"/>
          <w:sz w:val="24"/>
          <w:highlight w:val="none"/>
        </w:rPr>
        <w:t>地址</w:t>
      </w:r>
      <w:r>
        <w:rPr>
          <w:rFonts w:hint="eastAsia" w:ascii="Calibri" w:hAnsi="Calibri"/>
          <w:sz w:val="24"/>
          <w:highlight w:val="none"/>
        </w:rPr>
        <w:t>电话</w:t>
      </w:r>
      <w:r>
        <w:rPr>
          <w:rFonts w:ascii="Calibri" w:hAnsi="Calibri"/>
          <w:sz w:val="24"/>
          <w:highlight w:val="none"/>
        </w:rPr>
        <w:t>：</w:t>
      </w:r>
    </w:p>
    <w:p w14:paraId="722C9962">
      <w:pPr>
        <w:widowControl/>
        <w:spacing w:line="360" w:lineRule="auto"/>
        <w:jc w:val="left"/>
        <w:outlineLvl w:val="1"/>
        <w:rPr>
          <w:rFonts w:hint="eastAsia" w:ascii="Calibri" w:hAnsi="Calibri"/>
          <w:sz w:val="24"/>
          <w:highlight w:val="none"/>
        </w:rPr>
      </w:pPr>
      <w:r>
        <w:rPr>
          <w:rFonts w:ascii="Calibri" w:hAnsi="Calibri"/>
          <w:sz w:val="24"/>
          <w:highlight w:val="none"/>
        </w:rPr>
        <w:t>开户</w:t>
      </w:r>
      <w:r>
        <w:rPr>
          <w:rFonts w:hint="eastAsia" w:ascii="Calibri" w:hAnsi="Calibri"/>
          <w:sz w:val="24"/>
          <w:highlight w:val="none"/>
        </w:rPr>
        <w:t>银</w:t>
      </w:r>
      <w:r>
        <w:rPr>
          <w:rFonts w:ascii="Calibri" w:hAnsi="Calibri"/>
          <w:sz w:val="24"/>
          <w:highlight w:val="none"/>
        </w:rPr>
        <w:t>行</w:t>
      </w:r>
      <w:r>
        <w:rPr>
          <w:rFonts w:hint="eastAsia" w:ascii="Calibri" w:hAnsi="Calibri"/>
          <w:sz w:val="24"/>
          <w:highlight w:val="none"/>
        </w:rPr>
        <w:t>账户</w:t>
      </w:r>
      <w:r>
        <w:rPr>
          <w:rFonts w:ascii="Calibri" w:hAnsi="Calibri"/>
          <w:sz w:val="24"/>
          <w:highlight w:val="none"/>
        </w:rPr>
        <w:t>：</w:t>
      </w:r>
    </w:p>
    <w:p w14:paraId="3578664F">
      <w:pPr>
        <w:spacing w:line="360" w:lineRule="auto"/>
        <w:outlineLvl w:val="1"/>
        <w:rPr>
          <w:rFonts w:hint="eastAsia" w:ascii="Calibri" w:hAnsi="Calibri" w:eastAsia="宋体"/>
          <w:sz w:val="24"/>
          <w:highlight w:val="none"/>
          <w:lang w:eastAsia="zh-CN"/>
        </w:rPr>
      </w:pPr>
      <w:r>
        <w:rPr>
          <w:rFonts w:hint="eastAsia" w:ascii="Calibri" w:hAnsi="Calibri"/>
          <w:sz w:val="24"/>
          <w:highlight w:val="none"/>
        </w:rPr>
        <w:t>8、</w:t>
      </w:r>
      <w:r>
        <w:rPr>
          <w:rFonts w:hint="eastAsia" w:ascii="Calibri" w:hAnsi="Calibri"/>
          <w:sz w:val="24"/>
          <w:highlight w:val="none"/>
          <w:lang w:eastAsia="zh-CN"/>
        </w:rPr>
        <w:t>履约保证金</w:t>
      </w:r>
    </w:p>
    <w:p w14:paraId="091DF610">
      <w:pPr>
        <w:spacing w:line="360" w:lineRule="auto"/>
        <w:rPr>
          <w:rFonts w:ascii="Calibri" w:hAnsi="Calibri"/>
          <w:sz w:val="24"/>
          <w:highlight w:val="none"/>
        </w:rPr>
      </w:pPr>
      <w:r>
        <w:rPr>
          <w:rFonts w:hint="eastAsia" w:ascii="Calibri" w:hAnsi="Calibri"/>
          <w:sz w:val="24"/>
          <w:highlight w:val="none"/>
        </w:rPr>
        <w:t>☑无。□有</w:t>
      </w:r>
    </w:p>
    <w:p w14:paraId="4A7E7329">
      <w:pPr>
        <w:spacing w:line="360" w:lineRule="auto"/>
        <w:rPr>
          <w:rFonts w:hint="eastAsia" w:ascii="宋体" w:hAnsi="宋体" w:cs="宋体"/>
          <w:b/>
          <w:bCs/>
          <w:sz w:val="24"/>
          <w:highlight w:val="none"/>
        </w:rPr>
      </w:pPr>
      <w:r>
        <w:rPr>
          <w:rFonts w:hint="eastAsia" w:ascii="Calibri" w:hAnsi="Calibri"/>
          <w:sz w:val="24"/>
          <w:highlight w:val="none"/>
        </w:rPr>
        <w:t>9、</w:t>
      </w:r>
      <w:r>
        <w:rPr>
          <w:rFonts w:hint="eastAsia" w:ascii="宋体" w:hAnsi="宋体" w:cs="宋体"/>
          <w:b/>
          <w:bCs/>
          <w:sz w:val="24"/>
          <w:highlight w:val="none"/>
        </w:rPr>
        <w:t>售后服务</w:t>
      </w:r>
    </w:p>
    <w:p w14:paraId="21A4F494">
      <w:pPr>
        <w:spacing w:line="360" w:lineRule="auto"/>
        <w:ind w:firstLine="480" w:firstLineChars="200"/>
        <w:rPr>
          <w:rFonts w:hint="eastAsia" w:ascii="宋体" w:hAnsi="宋体"/>
          <w:sz w:val="24"/>
          <w:highlight w:val="none"/>
        </w:rPr>
      </w:pPr>
      <w:r>
        <w:rPr>
          <w:rFonts w:hint="eastAsia" w:ascii="宋体" w:hAnsi="宋体"/>
          <w:sz w:val="24"/>
          <w:highlight w:val="none"/>
        </w:rPr>
        <w:t>9.1项目经验收合格之日起提供三年免费维护。</w:t>
      </w:r>
    </w:p>
    <w:p w14:paraId="78CF09DA">
      <w:pPr>
        <w:spacing w:line="360" w:lineRule="auto"/>
        <w:ind w:firstLine="480" w:firstLineChars="200"/>
        <w:rPr>
          <w:rFonts w:hint="eastAsia" w:ascii="宋体" w:hAnsi="宋体"/>
          <w:sz w:val="24"/>
          <w:highlight w:val="none"/>
        </w:rPr>
      </w:pPr>
      <w:r>
        <w:rPr>
          <w:rFonts w:hint="eastAsia" w:ascii="宋体" w:hAnsi="宋体"/>
          <w:sz w:val="24"/>
          <w:highlight w:val="none"/>
        </w:rPr>
        <w:t>9.2专项技术培训：软件需提供园区工作人员培训使用。</w:t>
      </w:r>
    </w:p>
    <w:p w14:paraId="60A51547">
      <w:pPr>
        <w:spacing w:line="360" w:lineRule="auto"/>
        <w:ind w:firstLine="480" w:firstLineChars="200"/>
        <w:rPr>
          <w:rFonts w:hint="eastAsia" w:ascii="宋体" w:hAnsi="宋体"/>
          <w:sz w:val="24"/>
          <w:highlight w:val="none"/>
        </w:rPr>
      </w:pPr>
      <w:r>
        <w:rPr>
          <w:rFonts w:hint="eastAsia" w:ascii="宋体" w:hAnsi="宋体"/>
          <w:sz w:val="24"/>
          <w:highlight w:val="none"/>
        </w:rPr>
        <w:t>9.3运维培训：根据甲方需要，乙方对各系统为甲方提供现场运维培训服务，直至被培训者能胜任基础运维操作。</w:t>
      </w:r>
    </w:p>
    <w:p w14:paraId="10E78CA2">
      <w:pPr>
        <w:spacing w:line="360" w:lineRule="auto"/>
        <w:ind w:firstLine="480" w:firstLineChars="200"/>
        <w:rPr>
          <w:rFonts w:hint="eastAsia" w:ascii="宋体" w:hAnsi="宋体"/>
          <w:sz w:val="24"/>
          <w:highlight w:val="none"/>
        </w:rPr>
      </w:pPr>
      <w:r>
        <w:rPr>
          <w:rFonts w:hint="eastAsia" w:ascii="宋体" w:hAnsi="宋体"/>
          <w:sz w:val="24"/>
          <w:highlight w:val="none"/>
        </w:rPr>
        <w:t>10、违约责任</w:t>
      </w:r>
    </w:p>
    <w:p w14:paraId="153807AF">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rPr>
        <w:t>10.1</w:t>
      </w:r>
      <w:r>
        <w:rPr>
          <w:rFonts w:hint="eastAsia" w:ascii="宋体" w:hAnsi="宋体"/>
          <w:sz w:val="24"/>
          <w:highlight w:val="none"/>
          <w:lang w:eastAsia="zh-CN"/>
        </w:rPr>
        <w:t>甲方无正当理由拒绝接收乙方提供合格服务的，甲方应向乙方支付合同总价</w:t>
      </w:r>
      <w:r>
        <w:rPr>
          <w:rFonts w:hint="eastAsia" w:ascii="宋体" w:hAnsi="宋体"/>
          <w:sz w:val="24"/>
          <w:highlight w:val="none"/>
          <w:lang w:val="en-US" w:eastAsia="zh-CN"/>
        </w:rPr>
        <w:t>20%的违约金。</w:t>
      </w:r>
    </w:p>
    <w:p w14:paraId="0B9F90EA">
      <w:pPr>
        <w:spacing w:line="360" w:lineRule="auto"/>
        <w:ind w:firstLine="480" w:firstLineChars="200"/>
        <w:rPr>
          <w:rFonts w:hint="eastAsia" w:ascii="宋体" w:hAnsi="宋体"/>
          <w:sz w:val="24"/>
          <w:highlight w:val="none"/>
        </w:rPr>
      </w:pPr>
      <w:r>
        <w:rPr>
          <w:rFonts w:hint="eastAsia" w:ascii="宋体" w:hAnsi="宋体"/>
          <w:sz w:val="24"/>
          <w:highlight w:val="none"/>
        </w:rPr>
        <w:t>10.2</w:t>
      </w:r>
      <w:r>
        <w:rPr>
          <w:rFonts w:hint="eastAsia" w:ascii="宋体" w:hAnsi="宋体"/>
          <w:sz w:val="24"/>
          <w:highlight w:val="none"/>
          <w:lang w:eastAsia="zh-CN"/>
        </w:rPr>
        <w:t>甲方无故逾期验收或，每逾期一日，甲方应按合同总金额</w:t>
      </w:r>
      <w:r>
        <w:rPr>
          <w:rFonts w:hint="eastAsia" w:ascii="宋体" w:hAnsi="宋体"/>
          <w:sz w:val="24"/>
          <w:highlight w:val="none"/>
          <w:lang w:val="en-US" w:eastAsia="zh-CN"/>
        </w:rPr>
        <w:t>0.2</w:t>
      </w:r>
      <w:r>
        <w:rPr>
          <w:rFonts w:hint="eastAsia" w:ascii="宋体" w:hAnsi="宋体"/>
          <w:sz w:val="24"/>
          <w:highlight w:val="none"/>
        </w:rPr>
        <w:t>‰</w:t>
      </w:r>
      <w:r>
        <w:rPr>
          <w:rFonts w:hint="eastAsia" w:ascii="宋体" w:hAnsi="宋体"/>
          <w:sz w:val="24"/>
          <w:highlight w:val="none"/>
          <w:lang w:eastAsia="zh-CN"/>
        </w:rPr>
        <w:t>向乙方支付违约金</w:t>
      </w:r>
      <w:r>
        <w:rPr>
          <w:rFonts w:hint="eastAsia" w:ascii="宋体" w:hAnsi="宋体"/>
          <w:sz w:val="24"/>
          <w:highlight w:val="none"/>
        </w:rPr>
        <w:t xml:space="preserve">。 </w:t>
      </w:r>
    </w:p>
    <w:p w14:paraId="13408720">
      <w:pPr>
        <w:spacing w:line="360" w:lineRule="auto"/>
        <w:ind w:firstLine="480" w:firstLineChars="200"/>
        <w:rPr>
          <w:rFonts w:hint="eastAsia" w:ascii="宋体" w:hAnsi="宋体"/>
          <w:sz w:val="24"/>
          <w:highlight w:val="none"/>
        </w:rPr>
      </w:pPr>
      <w:r>
        <w:rPr>
          <w:rFonts w:hint="eastAsia" w:ascii="宋体" w:hAnsi="宋体"/>
          <w:sz w:val="24"/>
          <w:highlight w:val="none"/>
        </w:rPr>
        <w:t>10.3</w:t>
      </w:r>
      <w:r>
        <w:rPr>
          <w:rFonts w:hint="eastAsia" w:ascii="宋体" w:hAnsi="宋体"/>
          <w:sz w:val="24"/>
          <w:highlight w:val="none"/>
          <w:lang w:eastAsia="zh-CN"/>
        </w:rPr>
        <w:t>因乙方原因导致不能如期完成交付的，将按每延期一日给予合同中标金额的</w:t>
      </w:r>
      <w:r>
        <w:rPr>
          <w:rFonts w:hint="eastAsia" w:ascii="宋体" w:hAnsi="宋体"/>
          <w:sz w:val="24"/>
          <w:highlight w:val="none"/>
          <w:lang w:val="en-US" w:eastAsia="zh-CN"/>
        </w:rPr>
        <w:t>0.2</w:t>
      </w:r>
      <w:r>
        <w:rPr>
          <w:rFonts w:hint="eastAsia" w:ascii="宋体" w:hAnsi="宋体"/>
          <w:sz w:val="24"/>
          <w:highlight w:val="none"/>
        </w:rPr>
        <w:t>‰</w:t>
      </w:r>
      <w:r>
        <w:rPr>
          <w:rFonts w:hint="eastAsia" w:ascii="宋体" w:hAnsi="宋体"/>
          <w:sz w:val="24"/>
          <w:highlight w:val="none"/>
          <w:lang w:eastAsia="zh-CN"/>
        </w:rPr>
        <w:t>的罚款，此款从决算支付额中扣除</w:t>
      </w:r>
      <w:r>
        <w:rPr>
          <w:rFonts w:hint="eastAsia" w:ascii="宋体" w:hAnsi="宋体"/>
          <w:sz w:val="24"/>
          <w:highlight w:val="none"/>
        </w:rPr>
        <w:t>。</w:t>
      </w:r>
    </w:p>
    <w:p w14:paraId="0F0D39FB">
      <w:pPr>
        <w:spacing w:line="360" w:lineRule="auto"/>
        <w:ind w:firstLine="480" w:firstLineChars="200"/>
        <w:rPr>
          <w:rFonts w:hint="eastAsia" w:ascii="宋体" w:hAnsi="宋体"/>
          <w:sz w:val="24"/>
          <w:highlight w:val="none"/>
        </w:rPr>
      </w:pPr>
      <w:r>
        <w:rPr>
          <w:rFonts w:hint="eastAsia" w:ascii="宋体" w:hAnsi="宋体"/>
          <w:sz w:val="24"/>
          <w:highlight w:val="none"/>
        </w:rPr>
        <w:t>10.4</w:t>
      </w:r>
      <w:r>
        <w:rPr>
          <w:rFonts w:hint="eastAsia" w:ascii="宋体" w:hAnsi="宋体"/>
          <w:sz w:val="24"/>
          <w:highlight w:val="none"/>
          <w:lang w:eastAsia="zh-CN"/>
        </w:rPr>
        <w:t>乙方应严格履行售后承诺，为保障售后承诺的实施，乙方违反为约定的，甲方将根据具体情况对乙方给予每次</w:t>
      </w:r>
      <w:r>
        <w:rPr>
          <w:rFonts w:hint="eastAsia" w:ascii="宋体" w:hAnsi="宋体"/>
          <w:sz w:val="24"/>
          <w:highlight w:val="none"/>
          <w:lang w:val="en-US" w:eastAsia="zh-CN"/>
        </w:rPr>
        <w:t>200元的罚款。</w:t>
      </w:r>
    </w:p>
    <w:p w14:paraId="2A8F17D9">
      <w:pPr>
        <w:spacing w:line="360" w:lineRule="auto"/>
        <w:ind w:firstLine="480" w:firstLineChars="200"/>
        <w:rPr>
          <w:rFonts w:hint="eastAsia" w:ascii="宋体" w:hAnsi="宋体"/>
          <w:sz w:val="24"/>
          <w:highlight w:val="none"/>
        </w:rPr>
      </w:pPr>
      <w:r>
        <w:rPr>
          <w:rFonts w:hint="eastAsia" w:ascii="宋体" w:hAnsi="宋体"/>
          <w:sz w:val="24"/>
          <w:highlight w:val="none"/>
        </w:rPr>
        <w:t>11、知识产权</w:t>
      </w:r>
    </w:p>
    <w:p w14:paraId="656220BD">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11.1乙方提供的产品服务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 </w:t>
      </w:r>
    </w:p>
    <w:p w14:paraId="5CD8103B">
      <w:pPr>
        <w:spacing w:line="360" w:lineRule="auto"/>
        <w:ind w:firstLine="480" w:firstLineChars="200"/>
        <w:rPr>
          <w:rFonts w:hint="eastAsia" w:ascii="宋体" w:hAnsi="宋体"/>
          <w:sz w:val="24"/>
          <w:highlight w:val="none"/>
        </w:rPr>
      </w:pPr>
      <w:r>
        <w:rPr>
          <w:rFonts w:hint="eastAsia" w:ascii="宋体" w:hAnsi="宋体"/>
          <w:sz w:val="24"/>
          <w:highlight w:val="none"/>
        </w:rPr>
        <w:t>11.2若乙方提供的采购标的不符合国家知识产权法律、法规的规定或被有关主管机关认定为假冒伪劣品，则乙方成交资格将被取消；甲方还将按照有关法律、法规和规章的规定进行处理，具体如下：甲方有权单方面解除合同，乙方须返还甲方已支付的合同款，并按合同总金额的10%向甲方支付违约金。</w:t>
      </w:r>
    </w:p>
    <w:p w14:paraId="1A7EB948">
      <w:pPr>
        <w:spacing w:line="360" w:lineRule="auto"/>
        <w:ind w:firstLine="480" w:firstLineChars="200"/>
        <w:rPr>
          <w:rFonts w:hint="eastAsia" w:ascii="宋体" w:hAnsi="宋体"/>
          <w:sz w:val="24"/>
          <w:highlight w:val="none"/>
        </w:rPr>
      </w:pPr>
      <w:r>
        <w:rPr>
          <w:rFonts w:hint="eastAsia" w:ascii="宋体" w:hAnsi="宋体"/>
          <w:sz w:val="24"/>
          <w:highlight w:val="none"/>
        </w:rPr>
        <w:t>12、解决争议的方法</w:t>
      </w:r>
    </w:p>
    <w:p w14:paraId="4B157EC1">
      <w:pPr>
        <w:spacing w:line="360" w:lineRule="auto"/>
        <w:ind w:firstLine="480" w:firstLineChars="200"/>
        <w:rPr>
          <w:rFonts w:hint="eastAsia" w:ascii="宋体" w:hAnsi="宋体"/>
          <w:sz w:val="24"/>
          <w:highlight w:val="none"/>
        </w:rPr>
      </w:pPr>
      <w:r>
        <w:rPr>
          <w:rFonts w:hint="eastAsia" w:ascii="宋体" w:hAnsi="宋体"/>
          <w:sz w:val="24"/>
          <w:highlight w:val="none"/>
        </w:rPr>
        <w:t>12.1甲、乙双方协商解决。</w:t>
      </w:r>
    </w:p>
    <w:p w14:paraId="030492DE">
      <w:pPr>
        <w:spacing w:line="360" w:lineRule="auto"/>
        <w:ind w:firstLine="480" w:firstLineChars="200"/>
        <w:rPr>
          <w:rFonts w:hint="eastAsia" w:ascii="宋体" w:hAnsi="宋体"/>
          <w:sz w:val="24"/>
          <w:highlight w:val="none"/>
        </w:rPr>
      </w:pPr>
      <w:r>
        <w:rPr>
          <w:rFonts w:hint="eastAsia" w:ascii="宋体" w:hAnsi="宋体"/>
          <w:sz w:val="24"/>
          <w:highlight w:val="none"/>
        </w:rPr>
        <w:t>12.2若协商解决不成，则通过下列途径之一解决：</w:t>
      </w:r>
    </w:p>
    <w:p w14:paraId="63B6E542">
      <w:pPr>
        <w:spacing w:line="360" w:lineRule="auto"/>
        <w:ind w:firstLine="480" w:firstLineChars="200"/>
        <w:rPr>
          <w:rFonts w:hint="default" w:ascii="宋体" w:hAnsi="宋体"/>
          <w:sz w:val="24"/>
          <w:highlight w:val="none"/>
        </w:rPr>
      </w:pPr>
      <w:r>
        <w:rPr>
          <w:rFonts w:hint="default" w:ascii="宋体" w:hAnsi="宋体"/>
          <w:sz w:val="24"/>
          <w:highlight w:val="none"/>
        </w:rPr>
        <w:t>☑向人民法院提起诉讼，具体如下：向项目所在地归属法院提起诉讼</w:t>
      </w:r>
    </w:p>
    <w:p w14:paraId="10EC6A5A">
      <w:pPr>
        <w:spacing w:line="360" w:lineRule="auto"/>
        <w:ind w:firstLine="480" w:firstLineChars="200"/>
        <w:rPr>
          <w:rFonts w:hint="eastAsia" w:ascii="宋体" w:hAnsi="宋体"/>
          <w:sz w:val="24"/>
          <w:highlight w:val="none"/>
        </w:rPr>
      </w:pPr>
      <w:r>
        <w:rPr>
          <w:rFonts w:hint="eastAsia" w:ascii="宋体" w:hAnsi="宋体"/>
          <w:sz w:val="24"/>
          <w:highlight w:val="none"/>
        </w:rPr>
        <w:t>13、不可抗力</w:t>
      </w:r>
    </w:p>
    <w:p w14:paraId="4D4CEB0E">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 </w:t>
      </w:r>
    </w:p>
    <w:p w14:paraId="12A21722">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13.2本合同中的不可抗力指不能预见、不能避免、不能克服的客观情况，包括但不限于：自然灾害如地震、台风、洪水、火灾及政府行为、法律规定或其适用的变化或其他任何无法预见、避免或控制的事件。 </w:t>
      </w:r>
    </w:p>
    <w:p w14:paraId="7FE28302">
      <w:pPr>
        <w:spacing w:line="360" w:lineRule="auto"/>
        <w:ind w:firstLine="480" w:firstLineChars="200"/>
        <w:rPr>
          <w:rFonts w:hint="eastAsia" w:ascii="宋体" w:hAnsi="宋体"/>
          <w:sz w:val="24"/>
          <w:highlight w:val="none"/>
        </w:rPr>
      </w:pPr>
      <w:r>
        <w:rPr>
          <w:rFonts w:hint="eastAsia" w:ascii="宋体" w:hAnsi="宋体"/>
          <w:sz w:val="24"/>
          <w:highlight w:val="none"/>
        </w:rPr>
        <w:t>14、合同条款：上述。</w:t>
      </w:r>
    </w:p>
    <w:p w14:paraId="14B46577">
      <w:pPr>
        <w:spacing w:line="360" w:lineRule="auto"/>
        <w:ind w:firstLine="480" w:firstLineChars="200"/>
        <w:rPr>
          <w:rFonts w:hint="eastAsia" w:ascii="宋体" w:hAnsi="宋体"/>
          <w:sz w:val="24"/>
          <w:highlight w:val="none"/>
        </w:rPr>
      </w:pPr>
      <w:r>
        <w:rPr>
          <w:rFonts w:hint="eastAsia" w:ascii="宋体" w:hAnsi="宋体"/>
          <w:sz w:val="24"/>
          <w:highlight w:val="none"/>
        </w:rPr>
        <w:t>15、其他约定</w:t>
      </w:r>
    </w:p>
    <w:p w14:paraId="1F3C241A">
      <w:pPr>
        <w:spacing w:line="360" w:lineRule="auto"/>
        <w:ind w:firstLine="480" w:firstLineChars="200"/>
        <w:rPr>
          <w:rFonts w:hint="eastAsia" w:ascii="宋体" w:hAnsi="宋体"/>
          <w:sz w:val="24"/>
          <w:highlight w:val="none"/>
        </w:rPr>
      </w:pPr>
      <w:r>
        <w:rPr>
          <w:rFonts w:hint="eastAsia" w:ascii="宋体" w:hAnsi="宋体"/>
          <w:sz w:val="24"/>
          <w:highlight w:val="none"/>
        </w:rPr>
        <w:t>15.1合同文件与本合同具有同等法律效力。</w:t>
      </w:r>
    </w:p>
    <w:p w14:paraId="159352D1">
      <w:pPr>
        <w:spacing w:line="360" w:lineRule="auto"/>
        <w:ind w:firstLine="480" w:firstLineChars="200"/>
        <w:rPr>
          <w:rFonts w:hint="eastAsia" w:ascii="宋体" w:hAnsi="宋体"/>
          <w:sz w:val="24"/>
          <w:highlight w:val="none"/>
        </w:rPr>
      </w:pPr>
      <w:r>
        <w:rPr>
          <w:rFonts w:hint="eastAsia" w:ascii="宋体" w:hAnsi="宋体"/>
          <w:sz w:val="24"/>
          <w:highlight w:val="none"/>
        </w:rPr>
        <w:t>15.2本合同未尽事宜，双方可另行补充。</w:t>
      </w:r>
    </w:p>
    <w:p w14:paraId="60DCCAEC">
      <w:pPr>
        <w:spacing w:line="360" w:lineRule="auto"/>
        <w:ind w:firstLine="480" w:firstLineChars="200"/>
        <w:rPr>
          <w:rFonts w:hint="eastAsia" w:ascii="宋体" w:hAnsi="宋体"/>
          <w:sz w:val="24"/>
          <w:highlight w:val="none"/>
        </w:rPr>
      </w:pPr>
      <w:r>
        <w:rPr>
          <w:rFonts w:hint="eastAsia" w:ascii="宋体" w:hAnsi="宋体"/>
          <w:sz w:val="24"/>
          <w:highlight w:val="none"/>
        </w:rPr>
        <w:t>15.3合同生效：自签订之日起生效。</w:t>
      </w:r>
    </w:p>
    <w:p w14:paraId="6563492F">
      <w:pPr>
        <w:spacing w:line="360" w:lineRule="auto"/>
        <w:ind w:firstLine="480" w:firstLineChars="200"/>
        <w:rPr>
          <w:rFonts w:hint="eastAsia" w:ascii="宋体" w:hAnsi="宋体"/>
          <w:sz w:val="24"/>
          <w:highlight w:val="none"/>
        </w:rPr>
      </w:pPr>
      <w:r>
        <w:rPr>
          <w:rFonts w:hint="eastAsia" w:ascii="宋体" w:hAnsi="宋体"/>
          <w:sz w:val="24"/>
          <w:highlight w:val="none"/>
        </w:rPr>
        <w:t>15.4本合同一式 肆 份，经双方授权代表签字并盖章后生效。甲方、乙方各执 贰 份，具有同等效力。</w:t>
      </w:r>
    </w:p>
    <w:p w14:paraId="2A5B9776">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甲方：   </w:t>
      </w:r>
      <w:r>
        <w:rPr>
          <w:rFonts w:hint="eastAsia" w:ascii="宋体" w:hAnsi="宋体"/>
          <w:sz w:val="24"/>
          <w:highlight w:val="none"/>
          <w:lang w:val="en-US" w:eastAsia="zh-CN"/>
        </w:rPr>
        <w:t xml:space="preserve">                                    </w:t>
      </w:r>
      <w:r>
        <w:rPr>
          <w:rFonts w:hint="eastAsia" w:ascii="宋体" w:hAnsi="宋体"/>
          <w:sz w:val="24"/>
          <w:highlight w:val="none"/>
        </w:rPr>
        <w:t xml:space="preserve">乙方：                          </w:t>
      </w:r>
    </w:p>
    <w:p w14:paraId="33B6CF3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单位负责人：              </w:t>
      </w:r>
      <w:r>
        <w:rPr>
          <w:rFonts w:hint="eastAsia" w:ascii="宋体" w:hAnsi="宋体"/>
          <w:sz w:val="24"/>
          <w:highlight w:val="none"/>
          <w:lang w:val="en-US" w:eastAsia="zh-CN"/>
        </w:rPr>
        <w:t xml:space="preserve">                   </w:t>
      </w:r>
      <w:r>
        <w:rPr>
          <w:rFonts w:hint="eastAsia" w:ascii="宋体" w:hAnsi="宋体"/>
          <w:sz w:val="24"/>
          <w:highlight w:val="none"/>
        </w:rPr>
        <w:t xml:space="preserve">单位负责人：                    </w:t>
      </w:r>
    </w:p>
    <w:p w14:paraId="3BD1FFF7">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联系方法：              </w:t>
      </w:r>
      <w:r>
        <w:rPr>
          <w:rFonts w:hint="eastAsia" w:ascii="宋体" w:hAnsi="宋体"/>
          <w:sz w:val="24"/>
          <w:highlight w:val="none"/>
          <w:lang w:val="en-US" w:eastAsia="zh-CN"/>
        </w:rPr>
        <w:t xml:space="preserve">                    </w:t>
      </w:r>
      <w:r>
        <w:rPr>
          <w:rFonts w:hint="eastAsia" w:ascii="宋体" w:hAnsi="宋体"/>
          <w:sz w:val="24"/>
          <w:highlight w:val="none"/>
        </w:rPr>
        <w:t xml:space="preserve"> 联系方法： </w:t>
      </w:r>
    </w:p>
    <w:p w14:paraId="6EC7D30E">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签订地点：福建省龙岩市新罗区 </w:t>
      </w:r>
    </w:p>
    <w:p w14:paraId="1821FA62">
      <w:pPr>
        <w:spacing w:line="360" w:lineRule="auto"/>
        <w:ind w:firstLine="480" w:firstLineChars="200"/>
        <w:rPr>
          <w:rFonts w:hint="eastAsia" w:ascii="宋体" w:hAnsi="宋体"/>
          <w:sz w:val="24"/>
          <w:highlight w:val="none"/>
        </w:rPr>
      </w:pPr>
      <w:r>
        <w:rPr>
          <w:rFonts w:hint="eastAsia" w:ascii="宋体" w:hAnsi="宋体"/>
          <w:sz w:val="24"/>
          <w:highlight w:val="none"/>
        </w:rPr>
        <w:t>签订日期：    年   月   日</w:t>
      </w:r>
    </w:p>
    <w:p w14:paraId="202870C4">
      <w:pPr>
        <w:spacing w:line="360" w:lineRule="auto"/>
        <w:rPr>
          <w:rFonts w:hint="eastAsia" w:ascii="Calibri" w:hAnsi="Calibri"/>
          <w:sz w:val="24"/>
          <w:highlight w:val="none"/>
        </w:rPr>
      </w:pPr>
    </w:p>
    <w:p w14:paraId="5FEFB295">
      <w:pPr>
        <w:spacing w:line="500" w:lineRule="exact"/>
        <w:jc w:val="both"/>
        <w:rPr>
          <w:rFonts w:hint="eastAsia" w:asciiTheme="minorEastAsia" w:hAnsiTheme="minorEastAsia" w:eastAsiaTheme="minorEastAsia" w:cstheme="minorEastAsia"/>
          <w:b/>
          <w:sz w:val="32"/>
          <w:szCs w:val="32"/>
          <w:highlight w:val="none"/>
        </w:rPr>
      </w:pPr>
      <w:r>
        <w:rPr>
          <w:rFonts w:hint="eastAsia" w:ascii="仿宋_GB2312" w:eastAsia="仿宋_GB2312"/>
          <w:sz w:val="24"/>
          <w:szCs w:val="24"/>
          <w:highlight w:val="none"/>
        </w:rPr>
        <w:t> </w:t>
      </w:r>
    </w:p>
    <w:p w14:paraId="58C99800">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32"/>
          <w:szCs w:val="32"/>
          <w:highlight w:val="none"/>
        </w:rPr>
      </w:pPr>
      <w:bookmarkStart w:id="55" w:name="_Toc12678"/>
      <w:r>
        <w:rPr>
          <w:rFonts w:hint="eastAsia" w:asciiTheme="minorEastAsia" w:hAnsiTheme="minorEastAsia" w:eastAsiaTheme="minorEastAsia" w:cstheme="minorEastAsia"/>
          <w:b/>
          <w:sz w:val="32"/>
          <w:szCs w:val="32"/>
          <w:highlight w:val="none"/>
        </w:rPr>
        <w:t>第五章</w:t>
      </w:r>
      <w:r>
        <w:rPr>
          <w:rFonts w:hint="eastAsia" w:asciiTheme="minorEastAsia" w:hAnsiTheme="minorEastAsia" w:cstheme="minorEastAsia"/>
          <w:b/>
          <w:sz w:val="32"/>
          <w:szCs w:val="32"/>
          <w:highlight w:val="none"/>
          <w:lang w:val="en-US" w:eastAsia="zh-CN"/>
        </w:rPr>
        <w:t xml:space="preserve"> </w:t>
      </w:r>
      <w:r>
        <w:rPr>
          <w:rFonts w:hint="eastAsia" w:asciiTheme="minorEastAsia" w:hAnsiTheme="minorEastAsia" w:eastAsiaTheme="minorEastAsia" w:cstheme="minorEastAsia"/>
          <w:b/>
          <w:sz w:val="32"/>
          <w:szCs w:val="32"/>
          <w:highlight w:val="none"/>
        </w:rPr>
        <w:t xml:space="preserve"> 响应文件格式</w:t>
      </w:r>
      <w:bookmarkEnd w:id="55"/>
    </w:p>
    <w:p w14:paraId="0BDB79BA">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编制说明</w:t>
      </w:r>
    </w:p>
    <w:p w14:paraId="7254E9C0">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6B5A16FC">
      <w:pPr>
        <w:pStyle w:val="48"/>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4D1CCD40">
      <w:pPr>
        <w:pStyle w:val="48"/>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5AF573ED">
      <w:pPr>
        <w:pStyle w:val="18"/>
        <w:keepNext w:val="0"/>
        <w:keepLines w:val="0"/>
        <w:widowControl/>
        <w:suppressLineNumbers w:val="0"/>
        <w:spacing w:before="75" w:beforeAutospacing="0" w:after="75" w:afterAutospacing="0"/>
        <w:ind w:left="0" w:right="0" w:firstLine="0"/>
        <w:jc w:val="center"/>
        <w:rPr>
          <w:rStyle w:val="24"/>
          <w:rFonts w:hint="eastAsia" w:ascii="宋体" w:hAnsi="宋体" w:eastAsia="宋体" w:cs="宋体"/>
          <w:b/>
          <w:bCs/>
          <w:spacing w:val="0"/>
          <w:sz w:val="36"/>
          <w:szCs w:val="36"/>
          <w:highlight w:val="none"/>
        </w:rPr>
      </w:pPr>
    </w:p>
    <w:p w14:paraId="419EF580">
      <w:pPr>
        <w:pStyle w:val="18"/>
        <w:keepNext w:val="0"/>
        <w:keepLines w:val="0"/>
        <w:widowControl/>
        <w:suppressLineNumbers w:val="0"/>
        <w:spacing w:before="75" w:beforeAutospacing="0" w:after="75" w:afterAutospacing="0"/>
        <w:ind w:left="0" w:right="0" w:firstLine="0"/>
        <w:jc w:val="center"/>
        <w:rPr>
          <w:highlight w:val="none"/>
        </w:rPr>
      </w:pPr>
      <w:r>
        <w:rPr>
          <w:rStyle w:val="24"/>
          <w:rFonts w:hint="eastAsia" w:ascii="宋体" w:hAnsi="宋体" w:eastAsia="宋体" w:cs="宋体"/>
          <w:b/>
          <w:bCs/>
          <w:spacing w:val="0"/>
          <w:sz w:val="36"/>
          <w:szCs w:val="36"/>
          <w:highlight w:val="none"/>
        </w:rPr>
        <w:t> </w:t>
      </w:r>
    </w:p>
    <w:p w14:paraId="65F61D25">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52"/>
          <w:szCs w:val="52"/>
          <w:highlight w:val="none"/>
        </w:rPr>
      </w:pPr>
      <w:r>
        <w:rPr>
          <w:rFonts w:hint="eastAsia" w:asciiTheme="minorEastAsia" w:hAnsiTheme="minorEastAsia" w:eastAsiaTheme="minorEastAsia" w:cstheme="minorEastAsia"/>
          <w:b/>
          <w:sz w:val="52"/>
          <w:szCs w:val="52"/>
          <w:highlight w:val="none"/>
        </w:rPr>
        <w:t xml:space="preserve"> </w:t>
      </w:r>
      <w:bookmarkStart w:id="56" w:name="_Toc15733"/>
      <w:r>
        <w:rPr>
          <w:rFonts w:hint="eastAsia" w:asciiTheme="minorEastAsia" w:hAnsiTheme="minorEastAsia" w:eastAsiaTheme="minorEastAsia" w:cstheme="minorEastAsia"/>
          <w:b/>
          <w:sz w:val="52"/>
          <w:szCs w:val="52"/>
          <w:highlight w:val="none"/>
        </w:rPr>
        <w:t>竞争性磋商</w:t>
      </w:r>
      <w:bookmarkEnd w:id="56"/>
    </w:p>
    <w:p w14:paraId="6E7FF85F">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52"/>
          <w:szCs w:val="52"/>
          <w:highlight w:val="none"/>
        </w:rPr>
      </w:pPr>
      <w:r>
        <w:rPr>
          <w:rFonts w:hint="eastAsia" w:asciiTheme="minorEastAsia" w:hAnsiTheme="minorEastAsia" w:eastAsiaTheme="minorEastAsia" w:cstheme="minorEastAsia"/>
          <w:b/>
          <w:sz w:val="52"/>
          <w:szCs w:val="52"/>
          <w:highlight w:val="none"/>
        </w:rPr>
        <w:t>响应文件</w:t>
      </w:r>
    </w:p>
    <w:p w14:paraId="0AB2301F">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sz w:val="24"/>
          <w:szCs w:val="24"/>
          <w:highlight w:val="none"/>
          <w:lang w:eastAsia="zh-CN"/>
        </w:rPr>
      </w:pPr>
    </w:p>
    <w:p w14:paraId="4F445B3E">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sz w:val="32"/>
          <w:szCs w:val="32"/>
          <w:highlight w:val="none"/>
        </w:rPr>
        <w:t>项目名称：</w:t>
      </w:r>
      <w:r>
        <w:rPr>
          <w:rFonts w:hint="eastAsia" w:asciiTheme="minorEastAsia" w:hAnsiTheme="minorEastAsia" w:eastAsiaTheme="minorEastAsia" w:cstheme="minorEastAsia"/>
          <w:b/>
          <w:sz w:val="32"/>
          <w:szCs w:val="32"/>
          <w:highlight w:val="none"/>
          <w:u w:val="single"/>
        </w:rPr>
        <w:t xml:space="preserve">                                  </w:t>
      </w:r>
    </w:p>
    <w:p w14:paraId="53151A16">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sz w:val="32"/>
          <w:szCs w:val="32"/>
          <w:highlight w:val="none"/>
        </w:rPr>
        <w:t>项目编号：</w:t>
      </w:r>
      <w:r>
        <w:rPr>
          <w:rFonts w:hint="eastAsia" w:asciiTheme="minorEastAsia" w:hAnsiTheme="minorEastAsia" w:eastAsiaTheme="minorEastAsia" w:cstheme="minorEastAsia"/>
          <w:b/>
          <w:sz w:val="32"/>
          <w:szCs w:val="32"/>
          <w:highlight w:val="none"/>
          <w:u w:val="single"/>
        </w:rPr>
        <w:t xml:space="preserve">                                  </w:t>
      </w:r>
    </w:p>
    <w:p w14:paraId="5AB69ADB">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Theme="minorEastAsia" w:hAnsiTheme="minorEastAsia" w:eastAsiaTheme="minorEastAsia" w:cstheme="minorEastAsia"/>
          <w:b/>
          <w:sz w:val="32"/>
          <w:szCs w:val="32"/>
          <w:highlight w:val="none"/>
          <w:u w:val="single"/>
          <w:lang w:eastAsia="zh-CN"/>
        </w:rPr>
      </w:pPr>
      <w:r>
        <w:rPr>
          <w:rFonts w:hint="eastAsia" w:asciiTheme="minorEastAsia" w:hAnsiTheme="minorEastAsia" w:eastAsiaTheme="minorEastAsia" w:cstheme="minorEastAsia"/>
          <w:b/>
          <w:sz w:val="32"/>
          <w:szCs w:val="32"/>
          <w:highlight w:val="none"/>
        </w:rPr>
        <w:t>采购包：</w:t>
      </w:r>
      <w:r>
        <w:rPr>
          <w:rFonts w:hint="eastAsia" w:asciiTheme="minorEastAsia" w:hAnsiTheme="minorEastAsia" w:eastAsiaTheme="minorEastAsia" w:cstheme="minorEastAsia"/>
          <w:b/>
          <w:sz w:val="32"/>
          <w:szCs w:val="32"/>
          <w:highlight w:val="none"/>
          <w:u w:val="single"/>
        </w:rPr>
        <w:t xml:space="preserve">                                  </w:t>
      </w:r>
    </w:p>
    <w:p w14:paraId="01765622">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Theme="minorEastAsia" w:hAnsiTheme="minorEastAsia" w:eastAsiaTheme="minorEastAsia" w:cstheme="minorEastAsia"/>
          <w:b/>
          <w:sz w:val="32"/>
          <w:szCs w:val="32"/>
          <w:highlight w:val="none"/>
          <w:u w:val="single"/>
          <w:lang w:eastAsia="zh-CN"/>
        </w:rPr>
      </w:pPr>
    </w:p>
    <w:p w14:paraId="6D7ACF05">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Theme="minorEastAsia" w:hAnsiTheme="minorEastAsia" w:eastAsiaTheme="minorEastAsia" w:cstheme="minorEastAsia"/>
          <w:sz w:val="32"/>
          <w:szCs w:val="32"/>
          <w:highlight w:val="none"/>
          <w:lang w:eastAsia="zh-CN"/>
        </w:rPr>
      </w:pPr>
    </w:p>
    <w:p w14:paraId="2EA3A7E2">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sz w:val="32"/>
          <w:szCs w:val="32"/>
          <w:highlight w:val="none"/>
        </w:rPr>
        <w:t>供应商名称：</w:t>
      </w:r>
      <w:r>
        <w:rPr>
          <w:rFonts w:hint="eastAsia" w:asciiTheme="minorEastAsia" w:hAnsiTheme="minorEastAsia" w:eastAsiaTheme="minorEastAsia" w:cstheme="minorEastAsia"/>
          <w:b/>
          <w:sz w:val="32"/>
          <w:szCs w:val="32"/>
          <w:highlight w:val="none"/>
          <w:u w:val="single"/>
        </w:rPr>
        <w:t xml:space="preserve">                                  </w:t>
      </w:r>
    </w:p>
    <w:p w14:paraId="7B2BBB01">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3"/>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sz w:val="32"/>
          <w:szCs w:val="32"/>
          <w:highlight w:val="none"/>
        </w:rPr>
        <w:t>日        期：</w:t>
      </w:r>
      <w:r>
        <w:rPr>
          <w:rFonts w:hint="eastAsia" w:asciiTheme="minorEastAsia" w:hAnsiTheme="minorEastAsia" w:eastAsiaTheme="minorEastAsia" w:cstheme="minorEastAsia"/>
          <w:b/>
          <w:sz w:val="32"/>
          <w:szCs w:val="32"/>
          <w:highlight w:val="none"/>
          <w:u w:val="single"/>
        </w:rPr>
        <w:t xml:space="preserve">                                  </w:t>
      </w:r>
    </w:p>
    <w:p w14:paraId="11996004">
      <w:pPr>
        <w:pStyle w:val="48"/>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4B1E4BB6">
      <w:pPr>
        <w:pStyle w:val="48"/>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5B45CBC4">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目 录</w:t>
      </w:r>
    </w:p>
    <w:p w14:paraId="40448D30">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响应函</w:t>
      </w:r>
    </w:p>
    <w:p w14:paraId="667D5E6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报价一览表（含详细报价书）</w:t>
      </w:r>
    </w:p>
    <w:p w14:paraId="3BAA38B9">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资格证明文件</w:t>
      </w:r>
    </w:p>
    <w:p w14:paraId="5F59013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技术和商务偏离表</w:t>
      </w:r>
    </w:p>
    <w:p w14:paraId="60143BF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相关技术、商务、服务响应承诺及资料</w:t>
      </w:r>
    </w:p>
    <w:p w14:paraId="3703B83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供应商提交的其他资料</w:t>
      </w:r>
    </w:p>
    <w:p w14:paraId="771A4CCD">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要求作为响应文件组成部分的其他内容（若有）</w:t>
      </w:r>
    </w:p>
    <w:p w14:paraId="0A1E5FE8">
      <w:pPr>
        <w:pStyle w:val="48"/>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1BE7D54F">
      <w:pPr>
        <w:pStyle w:val="48"/>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105A0F9C">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1</w:t>
      </w:r>
      <w:r>
        <w:rPr>
          <w:rFonts w:hint="eastAsia" w:asciiTheme="minorEastAsia" w:hAnsiTheme="minorEastAsia" w:cstheme="minorEastAsia"/>
          <w:b/>
          <w:sz w:val="24"/>
          <w:szCs w:val="24"/>
          <w:highlight w:val="none"/>
          <w:lang w:val="en-US" w:eastAsia="zh-CN"/>
        </w:rPr>
        <w:t>.</w:t>
      </w:r>
      <w:r>
        <w:rPr>
          <w:rFonts w:hint="eastAsia" w:asciiTheme="minorEastAsia" w:hAnsiTheme="minorEastAsia" w:eastAsiaTheme="minorEastAsia" w:cstheme="minorEastAsia"/>
          <w:b/>
          <w:sz w:val="24"/>
          <w:szCs w:val="24"/>
          <w:highlight w:val="none"/>
        </w:rPr>
        <w:t xml:space="preserve"> 磋商响应声明</w:t>
      </w:r>
    </w:p>
    <w:p w14:paraId="012B0AC0">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（采购人或</w:t>
      </w:r>
      <w:r>
        <w:rPr>
          <w:rFonts w:hint="eastAsia" w:asciiTheme="minorEastAsia" w:hAnsiTheme="minorEastAsia" w:cstheme="minorEastAsia"/>
          <w:sz w:val="24"/>
          <w:szCs w:val="24"/>
          <w:highlight w:val="none"/>
          <w:u w:val="single"/>
          <w:lang w:eastAsia="zh-CN"/>
        </w:rPr>
        <w:t>采购单位</w:t>
      </w:r>
      <w:r>
        <w:rPr>
          <w:rFonts w:hint="eastAsia" w:asciiTheme="minorEastAsia" w:hAnsiTheme="minorEastAsia" w:eastAsiaTheme="minorEastAsia" w:cstheme="minorEastAsia"/>
          <w:sz w:val="24"/>
          <w:szCs w:val="24"/>
          <w:highlight w:val="none"/>
          <w:u w:val="single"/>
        </w:rPr>
        <w:t>）</w:t>
      </w:r>
    </w:p>
    <w:p w14:paraId="6EEA9B6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1.根据贵方为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项目（项目编号）: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的采购公告（或采购邀请书），我方签字代表</w:t>
      </w:r>
      <w:r>
        <w:rPr>
          <w:rFonts w:hint="eastAsia" w:asciiTheme="minorEastAsia" w:hAnsiTheme="minorEastAsia" w:eastAsiaTheme="minorEastAsia" w:cstheme="minorEastAsia"/>
          <w:sz w:val="24"/>
          <w:szCs w:val="24"/>
          <w:highlight w:val="none"/>
          <w:u w:val="single"/>
        </w:rPr>
        <w:t xml:space="preserve"> （全名、职务）</w:t>
      </w:r>
      <w:r>
        <w:rPr>
          <w:rFonts w:hint="eastAsia" w:asciiTheme="minorEastAsia" w:hAnsiTheme="minorEastAsia" w:eastAsiaTheme="minorEastAsia" w:cstheme="minorEastAsia"/>
          <w:sz w:val="24"/>
          <w:szCs w:val="24"/>
          <w:highlight w:val="none"/>
        </w:rPr>
        <w:t>经正式授权并代表的供应商</w:t>
      </w:r>
      <w:r>
        <w:rPr>
          <w:rFonts w:hint="eastAsia" w:asciiTheme="minorEastAsia" w:hAnsiTheme="minorEastAsia" w:eastAsiaTheme="minorEastAsia" w:cstheme="minorEastAsia"/>
          <w:sz w:val="24"/>
          <w:szCs w:val="24"/>
          <w:highlight w:val="none"/>
          <w:u w:val="single"/>
        </w:rPr>
        <w:t>（供应商名称、地址）</w:t>
      </w:r>
      <w:r>
        <w:rPr>
          <w:rFonts w:hint="eastAsia" w:asciiTheme="minorEastAsia" w:hAnsiTheme="minorEastAsia" w:eastAsiaTheme="minorEastAsia" w:cstheme="minorEastAsia"/>
          <w:sz w:val="24"/>
          <w:szCs w:val="24"/>
          <w:highlight w:val="none"/>
        </w:rPr>
        <w:t>提交包含下述内容的首次响应纸质文件正本</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套，副本</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套及电子文档</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套。</w:t>
      </w:r>
    </w:p>
    <w:p w14:paraId="23C7CA0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（1）响应函</w:t>
      </w:r>
    </w:p>
    <w:p w14:paraId="2E40D51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（2）报价一览表（含详细报价书）</w:t>
      </w:r>
    </w:p>
    <w:p w14:paraId="25F68C9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（3）资格证明文件</w:t>
      </w:r>
    </w:p>
    <w:p w14:paraId="4D488C2A">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（4）磋商保证金凭证</w:t>
      </w:r>
    </w:p>
    <w:p w14:paraId="3906106E">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（5）技术和商务偏离表</w:t>
      </w:r>
    </w:p>
    <w:p w14:paraId="312D36D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（6）相关技术、商务、服务响应承诺及资料</w:t>
      </w:r>
    </w:p>
    <w:p w14:paraId="7D14DC4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（7）供应商提交的其他资料</w:t>
      </w:r>
    </w:p>
    <w:p w14:paraId="2EA3497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（8）按照磋商文件规定，要求作为响应文件组成部分的其他内容（若有）</w:t>
      </w:r>
    </w:p>
    <w:p w14:paraId="64611D67">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2.据此函，我方宣布响应承诺如下：</w:t>
      </w:r>
    </w:p>
    <w:p w14:paraId="06E9465C">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06B3A6D1">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0746368E">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0886EB55">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07C69450">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2.5我方愿意向贵方提供任何与本项目磋商采购有关的数据或资料。若贵方需要，我方愿意提供我方作出的一切承诺的证明材料。</w:t>
      </w:r>
    </w:p>
    <w:p w14:paraId="217CD43C">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73106DC5">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2.7我方承诺遵守《中华人民共和国劳动合同法》有关规定和《中华人民共和国妇女权益保障法 》中关于“劳动和社会保障权益”的有关要求。</w:t>
      </w:r>
    </w:p>
    <w:p w14:paraId="4A8EBDB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2.8我方承诺响应文件所提供的全部资料真实可靠，并接受磋商小组、采购人、</w:t>
      </w:r>
      <w:r>
        <w:rPr>
          <w:rFonts w:hint="eastAsia" w:asciiTheme="minorEastAsia" w:hAnsiTheme="minorEastAsia" w:cstheme="minorEastAsia"/>
          <w:sz w:val="24"/>
          <w:szCs w:val="24"/>
          <w:highlight w:val="none"/>
          <w:lang w:eastAsia="zh-CN"/>
        </w:rPr>
        <w:t>采购单位</w:t>
      </w:r>
      <w:r>
        <w:rPr>
          <w:rFonts w:hint="eastAsia" w:asciiTheme="minorEastAsia" w:hAnsiTheme="minorEastAsia" w:eastAsiaTheme="minorEastAsia" w:cstheme="minorEastAsia"/>
          <w:sz w:val="24"/>
          <w:szCs w:val="24"/>
          <w:highlight w:val="none"/>
        </w:rPr>
        <w:t>、监管部门进一步审查其中任何资料真实性的要求</w:t>
      </w:r>
    </w:p>
    <w:p w14:paraId="4306CCBB">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731E34C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通信地址:</w:t>
      </w:r>
      <w:r>
        <w:rPr>
          <w:rFonts w:hint="eastAsia" w:asciiTheme="minorEastAsia" w:hAnsiTheme="minorEastAsia" w:eastAsiaTheme="minorEastAsia" w:cstheme="minorEastAsia"/>
          <w:sz w:val="24"/>
          <w:szCs w:val="24"/>
          <w:highlight w:val="none"/>
          <w:u w:val="single"/>
        </w:rPr>
        <w:t>　　　　　　　　　　　</w:t>
      </w:r>
    </w:p>
    <w:p w14:paraId="43C5368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邮编：</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 xml:space="preserve"> 传真号：</w:t>
      </w:r>
      <w:r>
        <w:rPr>
          <w:rFonts w:hint="eastAsia" w:asciiTheme="minorEastAsia" w:hAnsiTheme="minorEastAsia" w:eastAsiaTheme="minorEastAsia" w:cstheme="minorEastAsia"/>
          <w:sz w:val="24"/>
          <w:szCs w:val="24"/>
          <w:highlight w:val="none"/>
          <w:u w:val="single"/>
        </w:rPr>
        <w:t>　　　　　　</w:t>
      </w:r>
    </w:p>
    <w:p w14:paraId="5A379EFA">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联系电话（固定电话和移动电话）：</w:t>
      </w:r>
      <w:r>
        <w:rPr>
          <w:rFonts w:hint="eastAsia" w:asciiTheme="minorEastAsia" w:hAnsiTheme="minorEastAsia" w:eastAsiaTheme="minorEastAsia" w:cstheme="minorEastAsia"/>
          <w:sz w:val="24"/>
          <w:szCs w:val="24"/>
          <w:highlight w:val="none"/>
          <w:u w:val="single"/>
        </w:rPr>
        <w:t>　　　　　　　　</w:t>
      </w:r>
    </w:p>
    <w:p w14:paraId="4D1F43AD">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　　</w:t>
      </w:r>
    </w:p>
    <w:p w14:paraId="46C680A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供应商代表电子信箱：</w:t>
      </w:r>
      <w:r>
        <w:rPr>
          <w:rFonts w:hint="eastAsia" w:asciiTheme="minorEastAsia" w:hAnsiTheme="minorEastAsia" w:eastAsiaTheme="minorEastAsia" w:cstheme="minorEastAsia"/>
          <w:sz w:val="24"/>
          <w:szCs w:val="24"/>
          <w:highlight w:val="none"/>
          <w:u w:val="single"/>
        </w:rPr>
        <w:t>　　　　　　　　</w:t>
      </w:r>
    </w:p>
    <w:p w14:paraId="17D5A15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u w:val="single"/>
        </w:rPr>
        <w:t>　　（全称并加盖公章）　　</w:t>
      </w:r>
    </w:p>
    <w:p w14:paraId="38AA2AF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00840769">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6A431DE1">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43D7ECC4">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2</w:t>
      </w:r>
      <w:r>
        <w:rPr>
          <w:rFonts w:hint="eastAsia" w:asciiTheme="minorEastAsia" w:hAnsiTheme="minorEastAsia" w:cstheme="minorEastAsia"/>
          <w:b/>
          <w:sz w:val="24"/>
          <w:szCs w:val="24"/>
          <w:highlight w:val="none"/>
          <w:lang w:val="en-US" w:eastAsia="zh-CN"/>
        </w:rPr>
        <w:t>.</w:t>
      </w:r>
      <w:r>
        <w:rPr>
          <w:rFonts w:hint="eastAsia" w:asciiTheme="minorEastAsia" w:hAnsiTheme="minorEastAsia" w:eastAsiaTheme="minorEastAsia" w:cstheme="minorEastAsia"/>
          <w:b/>
          <w:sz w:val="24"/>
          <w:szCs w:val="24"/>
          <w:highlight w:val="none"/>
        </w:rPr>
        <w:t xml:space="preserve"> 报价一览表</w:t>
      </w:r>
    </w:p>
    <w:p w14:paraId="3F22BC0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（全称加盖单位公章）</w:t>
      </w:r>
      <w:r>
        <w:rPr>
          <w:rFonts w:hint="eastAsia" w:asciiTheme="minorEastAsia" w:hAnsiTheme="minorEastAsia" w:eastAsiaTheme="minorEastAsia" w:cstheme="minorEastAsia"/>
          <w:sz w:val="24"/>
          <w:szCs w:val="24"/>
          <w:highlight w:val="none"/>
        </w:rPr>
        <w:t xml:space="preserve"> 项目编号</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货币单位：元人民币</w:t>
      </w:r>
    </w:p>
    <w:tbl>
      <w:tblPr>
        <w:tblStyle w:val="21"/>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1842"/>
        <w:gridCol w:w="3812"/>
        <w:gridCol w:w="1438"/>
        <w:gridCol w:w="1135"/>
      </w:tblGrid>
      <w:tr w14:paraId="3D28F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6" w:type="pct"/>
            <w:vAlign w:val="center"/>
          </w:tcPr>
          <w:p w14:paraId="5F91855A">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采购包</w:t>
            </w:r>
          </w:p>
        </w:tc>
        <w:tc>
          <w:tcPr>
            <w:tcW w:w="997" w:type="pct"/>
            <w:vAlign w:val="center"/>
          </w:tcPr>
          <w:p w14:paraId="2545E676">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首次折扣报价</w:t>
            </w:r>
          </w:p>
        </w:tc>
        <w:tc>
          <w:tcPr>
            <w:tcW w:w="2063" w:type="pct"/>
            <w:vAlign w:val="center"/>
          </w:tcPr>
          <w:p w14:paraId="34D1B738">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交货期/工期/项目完成时间/服务时间</w:t>
            </w:r>
          </w:p>
        </w:tc>
        <w:tc>
          <w:tcPr>
            <w:tcW w:w="778" w:type="pct"/>
            <w:vAlign w:val="center"/>
          </w:tcPr>
          <w:p w14:paraId="2D52BB90">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磋商保证金</w:t>
            </w:r>
          </w:p>
        </w:tc>
        <w:tc>
          <w:tcPr>
            <w:tcW w:w="614" w:type="pct"/>
            <w:vAlign w:val="center"/>
          </w:tcPr>
          <w:p w14:paraId="5F402022">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14:paraId="7DFAE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6" w:type="pct"/>
          </w:tcPr>
          <w:p w14:paraId="69103643">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997" w:type="pct"/>
          </w:tcPr>
          <w:p w14:paraId="41FAAFC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063" w:type="pct"/>
          </w:tcPr>
          <w:p w14:paraId="5081A11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778" w:type="pct"/>
          </w:tcPr>
          <w:p w14:paraId="641E69E2">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614" w:type="pct"/>
          </w:tcPr>
          <w:p w14:paraId="1D6972C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2FE79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6" w:type="pct"/>
          </w:tcPr>
          <w:p w14:paraId="3EDD721D">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997" w:type="pct"/>
          </w:tcPr>
          <w:p w14:paraId="14DBE97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063" w:type="pct"/>
          </w:tcPr>
          <w:p w14:paraId="117E9AF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778" w:type="pct"/>
          </w:tcPr>
          <w:p w14:paraId="732FBBE4">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614" w:type="pct"/>
          </w:tcPr>
          <w:p w14:paraId="421F391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2E797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6" w:type="pct"/>
          </w:tcPr>
          <w:p w14:paraId="70A6FCD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997" w:type="pct"/>
          </w:tcPr>
          <w:p w14:paraId="21E04040">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063" w:type="pct"/>
          </w:tcPr>
          <w:p w14:paraId="407EDE22">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778" w:type="pct"/>
          </w:tcPr>
          <w:p w14:paraId="135EBDC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614" w:type="pct"/>
          </w:tcPr>
          <w:p w14:paraId="36A1ACD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bl>
    <w:p w14:paraId="66AD6871">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备注：详细报价书另纸详列，格式自拟。</w:t>
      </w:r>
    </w:p>
    <w:p w14:paraId="74D7018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w:t>
      </w:r>
    </w:p>
    <w:p w14:paraId="4A4DE642">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3B7B8D33">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78EE8D4B">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2-1 详细报价书</w:t>
      </w:r>
    </w:p>
    <w:p w14:paraId="089910B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（全称加盖单位公章）</w:t>
      </w:r>
      <w:r>
        <w:rPr>
          <w:rFonts w:hint="eastAsia" w:asciiTheme="minorEastAsia" w:hAnsiTheme="minorEastAsia" w:eastAsiaTheme="minorEastAsia" w:cstheme="minorEastAsia"/>
          <w:sz w:val="24"/>
          <w:szCs w:val="24"/>
          <w:highlight w:val="none"/>
        </w:rPr>
        <w:t xml:space="preserve"> 项目编号</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货币单位：元人民币</w:t>
      </w:r>
    </w:p>
    <w:tbl>
      <w:tblPr>
        <w:tblStyle w:val="21"/>
        <w:tblW w:w="43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694"/>
        <w:gridCol w:w="1920"/>
        <w:gridCol w:w="1552"/>
        <w:gridCol w:w="1287"/>
        <w:gridCol w:w="1287"/>
        <w:gridCol w:w="1287"/>
      </w:tblGrid>
      <w:tr w14:paraId="7AA3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48" w:hRule="atLeast"/>
        </w:trPr>
        <w:tc>
          <w:tcPr>
            <w:tcW w:w="415" w:type="pct"/>
            <w:shd w:val="clear" w:color="auto" w:fill="FFFFFF"/>
            <w:noWrap w:val="0"/>
            <w:vAlign w:val="center"/>
          </w:tcPr>
          <w:p w14:paraId="14B189CB">
            <w:pPr>
              <w:pStyle w:val="1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99" w:type="pct"/>
            <w:shd w:val="clear" w:color="auto" w:fill="FFFFFF"/>
            <w:noWrap w:val="0"/>
            <w:vAlign w:val="center"/>
          </w:tcPr>
          <w:p w14:paraId="1087C644">
            <w:pPr>
              <w:pStyle w:val="1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970" w:type="pct"/>
            <w:shd w:val="clear" w:color="auto" w:fill="FFFFFF"/>
            <w:noWrap w:val="0"/>
            <w:tcMar>
              <w:top w:w="0" w:type="dxa"/>
              <w:left w:w="105" w:type="dxa"/>
              <w:bottom w:w="0" w:type="dxa"/>
              <w:right w:w="105" w:type="dxa"/>
            </w:tcMar>
            <w:vAlign w:val="center"/>
          </w:tcPr>
          <w:p w14:paraId="4129E441">
            <w:pPr>
              <w:pStyle w:val="1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04" w:type="pct"/>
            <w:shd w:val="clear" w:color="auto" w:fill="FFFFFF"/>
            <w:noWrap w:val="0"/>
            <w:tcMar>
              <w:top w:w="0" w:type="dxa"/>
              <w:left w:w="105" w:type="dxa"/>
              <w:bottom w:w="0" w:type="dxa"/>
              <w:right w:w="105" w:type="dxa"/>
            </w:tcMar>
            <w:vAlign w:val="center"/>
          </w:tcPr>
          <w:p w14:paraId="0E42EA79">
            <w:pPr>
              <w:pStyle w:val="1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品牌</w:t>
            </w:r>
          </w:p>
        </w:tc>
        <w:tc>
          <w:tcPr>
            <w:tcW w:w="804" w:type="pct"/>
            <w:shd w:val="clear" w:color="auto" w:fill="FFFFFF"/>
            <w:noWrap w:val="0"/>
            <w:tcMar>
              <w:top w:w="0" w:type="dxa"/>
              <w:left w:w="105" w:type="dxa"/>
              <w:bottom w:w="0" w:type="dxa"/>
              <w:right w:w="105" w:type="dxa"/>
            </w:tcMar>
            <w:vAlign w:val="center"/>
          </w:tcPr>
          <w:p w14:paraId="18C641C6">
            <w:pPr>
              <w:pStyle w:val="1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804" w:type="pct"/>
            <w:shd w:val="clear" w:color="auto" w:fill="FFFFFF"/>
            <w:noWrap w:val="0"/>
            <w:tcMar>
              <w:top w:w="0" w:type="dxa"/>
              <w:left w:w="105" w:type="dxa"/>
              <w:bottom w:w="0" w:type="dxa"/>
              <w:right w:w="105" w:type="dxa"/>
            </w:tcMar>
            <w:vAlign w:val="center"/>
          </w:tcPr>
          <w:p w14:paraId="1BD8C354">
            <w:pPr>
              <w:pStyle w:val="1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小计金额（元）</w:t>
            </w:r>
          </w:p>
        </w:tc>
      </w:tr>
      <w:tr w14:paraId="4D65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8" w:hRule="atLeast"/>
        </w:trPr>
        <w:tc>
          <w:tcPr>
            <w:tcW w:w="415" w:type="pct"/>
            <w:shd w:val="clear" w:color="auto" w:fill="FFFFFF"/>
            <w:noWrap w:val="0"/>
            <w:vAlign w:val="center"/>
          </w:tcPr>
          <w:p w14:paraId="11A30CF3">
            <w:pPr>
              <w:pStyle w:val="18"/>
              <w:jc w:val="center"/>
              <w:rPr>
                <w:rFonts w:hint="eastAsia" w:ascii="宋体" w:hAnsi="宋体" w:eastAsia="宋体" w:cs="宋体"/>
                <w:sz w:val="24"/>
                <w:szCs w:val="24"/>
                <w:highlight w:val="none"/>
              </w:rPr>
            </w:pPr>
          </w:p>
        </w:tc>
        <w:tc>
          <w:tcPr>
            <w:tcW w:w="1199" w:type="pct"/>
            <w:shd w:val="clear" w:color="auto" w:fill="FFFFFF"/>
            <w:noWrap w:val="0"/>
            <w:vAlign w:val="center"/>
          </w:tcPr>
          <w:p w14:paraId="5E32CB37">
            <w:pPr>
              <w:keepNext w:val="0"/>
              <w:keepLines w:val="0"/>
              <w:widowControl/>
              <w:suppressLineNumbers w:val="0"/>
              <w:jc w:val="center"/>
              <w:textAlignment w:val="center"/>
              <w:rPr>
                <w:rFonts w:hint="eastAsia" w:ascii="宋体" w:hAnsi="宋体" w:eastAsia="宋体" w:cs="宋体"/>
                <w:sz w:val="24"/>
                <w:szCs w:val="24"/>
                <w:highlight w:val="none"/>
              </w:rPr>
            </w:pPr>
          </w:p>
        </w:tc>
        <w:tc>
          <w:tcPr>
            <w:tcW w:w="970" w:type="pct"/>
            <w:shd w:val="clear" w:color="auto" w:fill="FFFFFF"/>
            <w:noWrap w:val="0"/>
            <w:tcMar>
              <w:top w:w="0" w:type="dxa"/>
              <w:left w:w="105" w:type="dxa"/>
              <w:bottom w:w="0" w:type="dxa"/>
              <w:right w:w="105" w:type="dxa"/>
            </w:tcMar>
            <w:vAlign w:val="center"/>
          </w:tcPr>
          <w:p w14:paraId="7C0590B6">
            <w:pPr>
              <w:pStyle w:val="18"/>
              <w:jc w:val="center"/>
              <w:rPr>
                <w:rFonts w:hint="eastAsia" w:ascii="宋体" w:hAnsi="宋体" w:eastAsia="宋体" w:cs="宋体"/>
                <w:sz w:val="24"/>
                <w:szCs w:val="24"/>
                <w:highlight w:val="none"/>
                <w:lang w:eastAsia="zh-CN"/>
              </w:rPr>
            </w:pPr>
          </w:p>
        </w:tc>
        <w:tc>
          <w:tcPr>
            <w:tcW w:w="804" w:type="pct"/>
            <w:shd w:val="clear" w:color="auto" w:fill="FFFFFF"/>
            <w:noWrap w:val="0"/>
            <w:tcMar>
              <w:top w:w="0" w:type="dxa"/>
              <w:left w:w="105" w:type="dxa"/>
              <w:bottom w:w="0" w:type="dxa"/>
              <w:right w:w="105" w:type="dxa"/>
            </w:tcMar>
            <w:vAlign w:val="center"/>
          </w:tcPr>
          <w:p w14:paraId="64B8AFAB">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3EDE4635">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0FA9B86D">
            <w:pPr>
              <w:keepNext w:val="0"/>
              <w:keepLines w:val="0"/>
              <w:widowControl/>
              <w:suppressLineNumbers w:val="0"/>
              <w:jc w:val="center"/>
              <w:textAlignment w:val="center"/>
              <w:rPr>
                <w:rFonts w:hint="eastAsia" w:ascii="宋体" w:hAnsi="宋体" w:eastAsia="宋体" w:cs="宋体"/>
                <w:sz w:val="24"/>
                <w:szCs w:val="24"/>
                <w:highlight w:val="none"/>
              </w:rPr>
            </w:pPr>
          </w:p>
        </w:tc>
      </w:tr>
      <w:tr w14:paraId="4B72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8" w:hRule="atLeast"/>
        </w:trPr>
        <w:tc>
          <w:tcPr>
            <w:tcW w:w="415" w:type="pct"/>
            <w:shd w:val="clear" w:color="auto" w:fill="FFFFFF"/>
            <w:noWrap w:val="0"/>
            <w:vAlign w:val="center"/>
          </w:tcPr>
          <w:p w14:paraId="210AD84A">
            <w:pPr>
              <w:pStyle w:val="18"/>
              <w:jc w:val="center"/>
              <w:rPr>
                <w:rFonts w:hint="eastAsia" w:ascii="宋体" w:hAnsi="宋体" w:eastAsia="宋体" w:cs="宋体"/>
                <w:sz w:val="24"/>
                <w:szCs w:val="24"/>
                <w:highlight w:val="none"/>
              </w:rPr>
            </w:pPr>
          </w:p>
        </w:tc>
        <w:tc>
          <w:tcPr>
            <w:tcW w:w="1199" w:type="pct"/>
            <w:shd w:val="clear" w:color="auto" w:fill="FFFFFF"/>
            <w:noWrap w:val="0"/>
            <w:vAlign w:val="center"/>
          </w:tcPr>
          <w:p w14:paraId="2A9B4C9E">
            <w:pPr>
              <w:keepNext w:val="0"/>
              <w:keepLines w:val="0"/>
              <w:widowControl/>
              <w:suppressLineNumbers w:val="0"/>
              <w:jc w:val="center"/>
              <w:textAlignment w:val="center"/>
              <w:rPr>
                <w:rFonts w:hint="eastAsia" w:ascii="宋体" w:hAnsi="宋体" w:eastAsia="宋体" w:cs="宋体"/>
                <w:sz w:val="24"/>
                <w:szCs w:val="24"/>
                <w:highlight w:val="none"/>
              </w:rPr>
            </w:pPr>
          </w:p>
        </w:tc>
        <w:tc>
          <w:tcPr>
            <w:tcW w:w="970" w:type="pct"/>
            <w:shd w:val="clear" w:color="auto" w:fill="FFFFFF"/>
            <w:noWrap w:val="0"/>
            <w:tcMar>
              <w:top w:w="0" w:type="dxa"/>
              <w:left w:w="105" w:type="dxa"/>
              <w:bottom w:w="0" w:type="dxa"/>
              <w:right w:w="105" w:type="dxa"/>
            </w:tcMar>
            <w:vAlign w:val="center"/>
          </w:tcPr>
          <w:p w14:paraId="6F1A0021">
            <w:pPr>
              <w:pStyle w:val="18"/>
              <w:jc w:val="center"/>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60D2DE49">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3F25B8D8">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4F46A6C5">
            <w:pPr>
              <w:keepNext w:val="0"/>
              <w:keepLines w:val="0"/>
              <w:widowControl/>
              <w:suppressLineNumbers w:val="0"/>
              <w:jc w:val="center"/>
              <w:textAlignment w:val="center"/>
              <w:rPr>
                <w:rFonts w:hint="eastAsia" w:ascii="宋体" w:hAnsi="宋体" w:eastAsia="宋体" w:cs="宋体"/>
                <w:sz w:val="24"/>
                <w:szCs w:val="24"/>
                <w:highlight w:val="none"/>
              </w:rPr>
            </w:pPr>
          </w:p>
        </w:tc>
      </w:tr>
      <w:tr w14:paraId="3A62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8" w:hRule="atLeast"/>
        </w:trPr>
        <w:tc>
          <w:tcPr>
            <w:tcW w:w="415" w:type="pct"/>
            <w:shd w:val="clear" w:color="auto" w:fill="FFFFFF"/>
            <w:noWrap w:val="0"/>
            <w:vAlign w:val="center"/>
          </w:tcPr>
          <w:p w14:paraId="26A453F9">
            <w:pPr>
              <w:pStyle w:val="18"/>
              <w:jc w:val="center"/>
              <w:rPr>
                <w:rFonts w:hint="eastAsia" w:ascii="宋体" w:hAnsi="宋体" w:eastAsia="宋体" w:cs="宋体"/>
                <w:sz w:val="24"/>
                <w:szCs w:val="24"/>
                <w:highlight w:val="none"/>
              </w:rPr>
            </w:pPr>
          </w:p>
        </w:tc>
        <w:tc>
          <w:tcPr>
            <w:tcW w:w="1199" w:type="pct"/>
            <w:shd w:val="clear" w:color="auto" w:fill="FFFFFF"/>
            <w:noWrap w:val="0"/>
            <w:vAlign w:val="center"/>
          </w:tcPr>
          <w:p w14:paraId="20F5360A">
            <w:pPr>
              <w:keepNext w:val="0"/>
              <w:keepLines w:val="0"/>
              <w:widowControl/>
              <w:suppressLineNumbers w:val="0"/>
              <w:jc w:val="center"/>
              <w:textAlignment w:val="center"/>
              <w:rPr>
                <w:rFonts w:hint="eastAsia" w:ascii="宋体" w:hAnsi="宋体" w:eastAsia="宋体" w:cs="宋体"/>
                <w:sz w:val="24"/>
                <w:szCs w:val="24"/>
                <w:highlight w:val="none"/>
              </w:rPr>
            </w:pPr>
          </w:p>
        </w:tc>
        <w:tc>
          <w:tcPr>
            <w:tcW w:w="970" w:type="pct"/>
            <w:shd w:val="clear" w:color="auto" w:fill="FFFFFF"/>
            <w:noWrap w:val="0"/>
            <w:tcMar>
              <w:top w:w="0" w:type="dxa"/>
              <w:left w:w="105" w:type="dxa"/>
              <w:bottom w:w="0" w:type="dxa"/>
              <w:right w:w="105" w:type="dxa"/>
            </w:tcMar>
            <w:vAlign w:val="center"/>
          </w:tcPr>
          <w:p w14:paraId="057F4DD0">
            <w:pPr>
              <w:pStyle w:val="18"/>
              <w:jc w:val="center"/>
              <w:rPr>
                <w:rFonts w:hint="eastAsia" w:ascii="宋体" w:hAnsi="宋体" w:eastAsia="宋体" w:cs="宋体"/>
                <w:sz w:val="24"/>
                <w:szCs w:val="24"/>
                <w:highlight w:val="none"/>
                <w:lang w:eastAsia="zh-CN"/>
              </w:rPr>
            </w:pPr>
          </w:p>
        </w:tc>
        <w:tc>
          <w:tcPr>
            <w:tcW w:w="804" w:type="pct"/>
            <w:shd w:val="clear" w:color="auto" w:fill="FFFFFF"/>
            <w:noWrap w:val="0"/>
            <w:tcMar>
              <w:top w:w="0" w:type="dxa"/>
              <w:left w:w="105" w:type="dxa"/>
              <w:bottom w:w="0" w:type="dxa"/>
              <w:right w:w="105" w:type="dxa"/>
            </w:tcMar>
            <w:vAlign w:val="center"/>
          </w:tcPr>
          <w:p w14:paraId="7784A5CC">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03494BAF">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10C26CD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p>
        </w:tc>
      </w:tr>
      <w:tr w14:paraId="0041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8" w:hRule="atLeast"/>
        </w:trPr>
        <w:tc>
          <w:tcPr>
            <w:tcW w:w="415" w:type="pct"/>
            <w:shd w:val="clear" w:color="auto" w:fill="FFFFFF"/>
            <w:noWrap w:val="0"/>
            <w:vAlign w:val="center"/>
          </w:tcPr>
          <w:p w14:paraId="5539006E">
            <w:pPr>
              <w:pStyle w:val="18"/>
              <w:jc w:val="center"/>
              <w:rPr>
                <w:rFonts w:hint="eastAsia" w:ascii="宋体" w:hAnsi="宋体" w:eastAsia="宋体" w:cs="宋体"/>
                <w:sz w:val="24"/>
                <w:szCs w:val="24"/>
                <w:highlight w:val="none"/>
              </w:rPr>
            </w:pPr>
          </w:p>
        </w:tc>
        <w:tc>
          <w:tcPr>
            <w:tcW w:w="1199" w:type="pct"/>
            <w:shd w:val="clear" w:color="auto" w:fill="FFFFFF"/>
            <w:noWrap w:val="0"/>
            <w:vAlign w:val="center"/>
          </w:tcPr>
          <w:p w14:paraId="1083D25D">
            <w:pPr>
              <w:keepNext w:val="0"/>
              <w:keepLines w:val="0"/>
              <w:widowControl/>
              <w:suppressLineNumbers w:val="0"/>
              <w:jc w:val="center"/>
              <w:textAlignment w:val="center"/>
              <w:rPr>
                <w:rFonts w:hint="eastAsia" w:ascii="宋体" w:hAnsi="宋体" w:eastAsia="宋体" w:cs="宋体"/>
                <w:sz w:val="24"/>
                <w:szCs w:val="24"/>
                <w:highlight w:val="none"/>
              </w:rPr>
            </w:pPr>
          </w:p>
        </w:tc>
        <w:tc>
          <w:tcPr>
            <w:tcW w:w="970" w:type="pct"/>
            <w:shd w:val="clear" w:color="auto" w:fill="FFFFFF"/>
            <w:noWrap w:val="0"/>
            <w:tcMar>
              <w:top w:w="0" w:type="dxa"/>
              <w:left w:w="105" w:type="dxa"/>
              <w:bottom w:w="0" w:type="dxa"/>
              <w:right w:w="105" w:type="dxa"/>
            </w:tcMar>
            <w:vAlign w:val="center"/>
          </w:tcPr>
          <w:p w14:paraId="0A46B73C">
            <w:pPr>
              <w:pStyle w:val="18"/>
              <w:jc w:val="center"/>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6B664E4A">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1C7C0B6C">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371FC806">
            <w:pPr>
              <w:keepNext w:val="0"/>
              <w:keepLines w:val="0"/>
              <w:widowControl/>
              <w:suppressLineNumbers w:val="0"/>
              <w:jc w:val="center"/>
              <w:textAlignment w:val="center"/>
              <w:rPr>
                <w:rFonts w:hint="eastAsia" w:ascii="宋体" w:hAnsi="宋体" w:eastAsia="宋体" w:cs="宋体"/>
                <w:sz w:val="24"/>
                <w:szCs w:val="24"/>
                <w:highlight w:val="none"/>
              </w:rPr>
            </w:pPr>
          </w:p>
        </w:tc>
      </w:tr>
      <w:tr w14:paraId="785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8" w:hRule="atLeast"/>
        </w:trPr>
        <w:tc>
          <w:tcPr>
            <w:tcW w:w="415" w:type="pct"/>
            <w:shd w:val="clear" w:color="auto" w:fill="FFFFFF"/>
            <w:noWrap w:val="0"/>
            <w:vAlign w:val="center"/>
          </w:tcPr>
          <w:p w14:paraId="6BA40741">
            <w:pPr>
              <w:pStyle w:val="18"/>
              <w:jc w:val="center"/>
              <w:rPr>
                <w:rFonts w:hint="eastAsia" w:ascii="宋体" w:hAnsi="宋体" w:eastAsia="宋体" w:cs="宋体"/>
                <w:sz w:val="24"/>
                <w:szCs w:val="24"/>
                <w:highlight w:val="none"/>
              </w:rPr>
            </w:pPr>
          </w:p>
        </w:tc>
        <w:tc>
          <w:tcPr>
            <w:tcW w:w="1199" w:type="pct"/>
            <w:shd w:val="clear" w:color="auto" w:fill="FFFFFF"/>
            <w:noWrap w:val="0"/>
            <w:vAlign w:val="center"/>
          </w:tcPr>
          <w:p w14:paraId="0F198788">
            <w:pPr>
              <w:keepNext w:val="0"/>
              <w:keepLines w:val="0"/>
              <w:widowControl/>
              <w:suppressLineNumbers w:val="0"/>
              <w:jc w:val="center"/>
              <w:textAlignment w:val="center"/>
              <w:rPr>
                <w:rFonts w:hint="eastAsia" w:ascii="宋体" w:hAnsi="宋体" w:eastAsia="宋体" w:cs="宋体"/>
                <w:sz w:val="24"/>
                <w:szCs w:val="24"/>
                <w:highlight w:val="none"/>
              </w:rPr>
            </w:pPr>
          </w:p>
        </w:tc>
        <w:tc>
          <w:tcPr>
            <w:tcW w:w="970" w:type="pct"/>
            <w:shd w:val="clear" w:color="auto" w:fill="FFFFFF"/>
            <w:noWrap w:val="0"/>
            <w:tcMar>
              <w:top w:w="0" w:type="dxa"/>
              <w:left w:w="105" w:type="dxa"/>
              <w:bottom w:w="0" w:type="dxa"/>
              <w:right w:w="105" w:type="dxa"/>
            </w:tcMar>
            <w:vAlign w:val="center"/>
          </w:tcPr>
          <w:p w14:paraId="59B4075D">
            <w:pPr>
              <w:pStyle w:val="18"/>
              <w:jc w:val="center"/>
              <w:rPr>
                <w:rFonts w:hint="eastAsia" w:ascii="宋体" w:hAnsi="宋体" w:eastAsia="宋体" w:cs="宋体"/>
                <w:sz w:val="24"/>
                <w:szCs w:val="24"/>
                <w:highlight w:val="none"/>
                <w:lang w:eastAsia="zh-CN"/>
              </w:rPr>
            </w:pPr>
          </w:p>
        </w:tc>
        <w:tc>
          <w:tcPr>
            <w:tcW w:w="804" w:type="pct"/>
            <w:shd w:val="clear" w:color="auto" w:fill="FFFFFF"/>
            <w:noWrap w:val="0"/>
            <w:tcMar>
              <w:top w:w="0" w:type="dxa"/>
              <w:left w:w="105" w:type="dxa"/>
              <w:bottom w:w="0" w:type="dxa"/>
              <w:right w:w="105" w:type="dxa"/>
            </w:tcMar>
            <w:vAlign w:val="center"/>
          </w:tcPr>
          <w:p w14:paraId="04D548BE">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6561A7D4">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787D1EB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p>
        </w:tc>
      </w:tr>
      <w:tr w14:paraId="6550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8" w:hRule="atLeast"/>
        </w:trPr>
        <w:tc>
          <w:tcPr>
            <w:tcW w:w="415" w:type="pct"/>
            <w:shd w:val="clear" w:color="auto" w:fill="FFFFFF"/>
            <w:noWrap w:val="0"/>
            <w:vAlign w:val="center"/>
          </w:tcPr>
          <w:p w14:paraId="7B9598A4">
            <w:pPr>
              <w:pStyle w:val="18"/>
              <w:jc w:val="center"/>
              <w:rPr>
                <w:rFonts w:hint="eastAsia" w:ascii="宋体" w:hAnsi="宋体" w:eastAsia="宋体" w:cs="宋体"/>
                <w:sz w:val="24"/>
                <w:szCs w:val="24"/>
                <w:highlight w:val="none"/>
              </w:rPr>
            </w:pPr>
          </w:p>
        </w:tc>
        <w:tc>
          <w:tcPr>
            <w:tcW w:w="1199" w:type="pct"/>
            <w:shd w:val="clear" w:color="auto" w:fill="FFFFFF"/>
            <w:noWrap w:val="0"/>
            <w:vAlign w:val="center"/>
          </w:tcPr>
          <w:p w14:paraId="160934CA">
            <w:pPr>
              <w:keepNext w:val="0"/>
              <w:keepLines w:val="0"/>
              <w:widowControl/>
              <w:suppressLineNumbers w:val="0"/>
              <w:jc w:val="center"/>
              <w:textAlignment w:val="center"/>
              <w:rPr>
                <w:rFonts w:hint="eastAsia" w:ascii="宋体" w:hAnsi="宋体" w:eastAsia="宋体" w:cs="宋体"/>
                <w:sz w:val="24"/>
                <w:szCs w:val="24"/>
                <w:highlight w:val="none"/>
                <w:lang w:val="en-US"/>
              </w:rPr>
            </w:pPr>
          </w:p>
        </w:tc>
        <w:tc>
          <w:tcPr>
            <w:tcW w:w="970" w:type="pct"/>
            <w:shd w:val="clear" w:color="auto" w:fill="FFFFFF"/>
            <w:noWrap w:val="0"/>
            <w:tcMar>
              <w:top w:w="0" w:type="dxa"/>
              <w:left w:w="105" w:type="dxa"/>
              <w:bottom w:w="0" w:type="dxa"/>
              <w:right w:w="105" w:type="dxa"/>
            </w:tcMar>
            <w:vAlign w:val="center"/>
          </w:tcPr>
          <w:p w14:paraId="05D4D239">
            <w:pPr>
              <w:pStyle w:val="18"/>
              <w:jc w:val="center"/>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1F5D6826">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799E86E9">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2E3B9BB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p>
        </w:tc>
      </w:tr>
      <w:tr w14:paraId="2627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8" w:hRule="atLeast"/>
        </w:trPr>
        <w:tc>
          <w:tcPr>
            <w:tcW w:w="415" w:type="pct"/>
            <w:shd w:val="clear" w:color="auto" w:fill="FFFFFF"/>
            <w:noWrap w:val="0"/>
            <w:vAlign w:val="center"/>
          </w:tcPr>
          <w:p w14:paraId="30545C59">
            <w:pPr>
              <w:pStyle w:val="18"/>
              <w:jc w:val="center"/>
              <w:rPr>
                <w:rFonts w:hint="eastAsia" w:ascii="宋体" w:hAnsi="宋体" w:eastAsia="宋体" w:cs="宋体"/>
                <w:sz w:val="24"/>
                <w:szCs w:val="24"/>
                <w:highlight w:val="none"/>
                <w:lang w:eastAsia="zh-CN"/>
              </w:rPr>
            </w:pPr>
          </w:p>
        </w:tc>
        <w:tc>
          <w:tcPr>
            <w:tcW w:w="1199" w:type="pct"/>
            <w:shd w:val="clear" w:color="auto" w:fill="FFFFFF"/>
            <w:noWrap w:val="0"/>
            <w:vAlign w:val="center"/>
          </w:tcPr>
          <w:p w14:paraId="49B6DC22">
            <w:pPr>
              <w:keepNext w:val="0"/>
              <w:keepLines w:val="0"/>
              <w:widowControl/>
              <w:suppressLineNumbers w:val="0"/>
              <w:jc w:val="center"/>
              <w:textAlignment w:val="center"/>
              <w:rPr>
                <w:rFonts w:hint="eastAsia" w:ascii="宋体" w:hAnsi="宋体" w:eastAsia="宋体" w:cs="宋体"/>
                <w:sz w:val="24"/>
                <w:szCs w:val="24"/>
                <w:highlight w:val="none"/>
              </w:rPr>
            </w:pPr>
          </w:p>
        </w:tc>
        <w:tc>
          <w:tcPr>
            <w:tcW w:w="970" w:type="pct"/>
            <w:shd w:val="clear" w:color="auto" w:fill="FFFFFF"/>
            <w:noWrap w:val="0"/>
            <w:tcMar>
              <w:top w:w="0" w:type="dxa"/>
              <w:left w:w="105" w:type="dxa"/>
              <w:bottom w:w="0" w:type="dxa"/>
              <w:right w:w="105" w:type="dxa"/>
            </w:tcMar>
            <w:vAlign w:val="center"/>
          </w:tcPr>
          <w:p w14:paraId="0AF64CA9">
            <w:pPr>
              <w:pStyle w:val="18"/>
              <w:jc w:val="center"/>
              <w:rPr>
                <w:rFonts w:hint="eastAsia" w:ascii="宋体" w:hAnsi="宋体" w:eastAsia="宋体" w:cs="宋体"/>
                <w:sz w:val="24"/>
                <w:szCs w:val="24"/>
                <w:highlight w:val="none"/>
                <w:lang w:eastAsia="zh-CN"/>
              </w:rPr>
            </w:pPr>
          </w:p>
        </w:tc>
        <w:tc>
          <w:tcPr>
            <w:tcW w:w="804" w:type="pct"/>
            <w:shd w:val="clear" w:color="auto" w:fill="FFFFFF"/>
            <w:noWrap w:val="0"/>
            <w:tcMar>
              <w:top w:w="0" w:type="dxa"/>
              <w:left w:w="105" w:type="dxa"/>
              <w:bottom w:w="0" w:type="dxa"/>
              <w:right w:w="105" w:type="dxa"/>
            </w:tcMar>
            <w:vAlign w:val="center"/>
          </w:tcPr>
          <w:p w14:paraId="6AD57E4F">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67F7AA25">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5662C70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p>
        </w:tc>
      </w:tr>
      <w:tr w14:paraId="2FD5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8" w:hRule="atLeast"/>
        </w:trPr>
        <w:tc>
          <w:tcPr>
            <w:tcW w:w="415" w:type="pct"/>
            <w:shd w:val="clear" w:color="auto" w:fill="FFFFFF"/>
            <w:noWrap w:val="0"/>
            <w:vAlign w:val="center"/>
          </w:tcPr>
          <w:p w14:paraId="4CD19600">
            <w:pPr>
              <w:pStyle w:val="18"/>
              <w:jc w:val="center"/>
              <w:rPr>
                <w:rFonts w:hint="eastAsia" w:ascii="宋体" w:hAnsi="宋体" w:eastAsia="宋体" w:cs="宋体"/>
                <w:sz w:val="24"/>
                <w:szCs w:val="24"/>
                <w:highlight w:val="none"/>
                <w:lang w:val="en-US" w:eastAsia="zh-CN"/>
              </w:rPr>
            </w:pPr>
          </w:p>
        </w:tc>
        <w:tc>
          <w:tcPr>
            <w:tcW w:w="1199" w:type="pct"/>
            <w:shd w:val="clear" w:color="auto" w:fill="FFFFFF"/>
            <w:noWrap w:val="0"/>
            <w:vAlign w:val="center"/>
          </w:tcPr>
          <w:p w14:paraId="1A8BFC8E">
            <w:pPr>
              <w:keepNext w:val="0"/>
              <w:keepLines w:val="0"/>
              <w:widowControl/>
              <w:suppressLineNumbers w:val="0"/>
              <w:jc w:val="center"/>
              <w:textAlignment w:val="center"/>
              <w:rPr>
                <w:rFonts w:hint="eastAsia" w:ascii="宋体" w:hAnsi="宋体" w:eastAsia="宋体" w:cs="宋体"/>
                <w:sz w:val="24"/>
                <w:szCs w:val="24"/>
                <w:highlight w:val="none"/>
              </w:rPr>
            </w:pPr>
          </w:p>
        </w:tc>
        <w:tc>
          <w:tcPr>
            <w:tcW w:w="970" w:type="pct"/>
            <w:shd w:val="clear" w:color="auto" w:fill="FFFFFF"/>
            <w:noWrap w:val="0"/>
            <w:tcMar>
              <w:top w:w="0" w:type="dxa"/>
              <w:left w:w="105" w:type="dxa"/>
              <w:bottom w:w="0" w:type="dxa"/>
              <w:right w:w="105" w:type="dxa"/>
            </w:tcMar>
            <w:vAlign w:val="center"/>
          </w:tcPr>
          <w:p w14:paraId="36788107">
            <w:pPr>
              <w:pStyle w:val="18"/>
              <w:jc w:val="center"/>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016CE91C">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1011D1AE">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7C1F5D6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p>
        </w:tc>
      </w:tr>
      <w:tr w14:paraId="687D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09" w:hRule="atLeast"/>
        </w:trPr>
        <w:tc>
          <w:tcPr>
            <w:tcW w:w="415" w:type="pct"/>
            <w:shd w:val="clear" w:color="auto" w:fill="FFFFFF"/>
            <w:noWrap w:val="0"/>
            <w:vAlign w:val="center"/>
          </w:tcPr>
          <w:p w14:paraId="5ED734D0">
            <w:pPr>
              <w:pStyle w:val="18"/>
              <w:jc w:val="center"/>
              <w:rPr>
                <w:rFonts w:hint="eastAsia" w:ascii="宋体" w:hAnsi="宋体" w:eastAsia="宋体" w:cs="宋体"/>
                <w:sz w:val="24"/>
                <w:szCs w:val="24"/>
                <w:highlight w:val="none"/>
                <w:lang w:val="en-US" w:eastAsia="zh-CN"/>
              </w:rPr>
            </w:pPr>
          </w:p>
        </w:tc>
        <w:tc>
          <w:tcPr>
            <w:tcW w:w="1199" w:type="pct"/>
            <w:shd w:val="clear" w:color="auto" w:fill="FFFFFF"/>
            <w:noWrap w:val="0"/>
            <w:vAlign w:val="center"/>
          </w:tcPr>
          <w:p w14:paraId="428DF2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70" w:type="pct"/>
            <w:shd w:val="clear" w:color="auto" w:fill="FFFFFF"/>
            <w:noWrap w:val="0"/>
            <w:tcMar>
              <w:top w:w="0" w:type="dxa"/>
              <w:left w:w="105" w:type="dxa"/>
              <w:bottom w:w="0" w:type="dxa"/>
              <w:right w:w="105" w:type="dxa"/>
            </w:tcMar>
            <w:vAlign w:val="center"/>
          </w:tcPr>
          <w:p w14:paraId="1AAD835E">
            <w:pPr>
              <w:pStyle w:val="18"/>
              <w:jc w:val="center"/>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0201E57E">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4C9BFF2D">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0CA6A2C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p>
        </w:tc>
      </w:tr>
      <w:tr w14:paraId="012C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09" w:hRule="atLeast"/>
        </w:trPr>
        <w:tc>
          <w:tcPr>
            <w:tcW w:w="415" w:type="pct"/>
            <w:shd w:val="clear" w:color="auto" w:fill="FFFFFF"/>
            <w:noWrap w:val="0"/>
            <w:vAlign w:val="center"/>
          </w:tcPr>
          <w:p w14:paraId="7E72DBF8">
            <w:pPr>
              <w:pStyle w:val="18"/>
              <w:jc w:val="center"/>
              <w:rPr>
                <w:rFonts w:hint="eastAsia" w:ascii="宋体" w:hAnsi="宋体" w:eastAsia="宋体" w:cs="宋体"/>
                <w:sz w:val="24"/>
                <w:szCs w:val="24"/>
                <w:highlight w:val="none"/>
                <w:lang w:val="en-US" w:eastAsia="zh-CN"/>
              </w:rPr>
            </w:pPr>
          </w:p>
        </w:tc>
        <w:tc>
          <w:tcPr>
            <w:tcW w:w="1199" w:type="pct"/>
            <w:shd w:val="clear" w:color="auto" w:fill="FFFFFF"/>
            <w:noWrap w:val="0"/>
            <w:vAlign w:val="center"/>
          </w:tcPr>
          <w:p w14:paraId="3883E6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70" w:type="pct"/>
            <w:shd w:val="clear" w:color="auto" w:fill="FFFFFF"/>
            <w:noWrap w:val="0"/>
            <w:tcMar>
              <w:top w:w="0" w:type="dxa"/>
              <w:left w:w="105" w:type="dxa"/>
              <w:bottom w:w="0" w:type="dxa"/>
              <w:right w:w="105" w:type="dxa"/>
            </w:tcMar>
            <w:vAlign w:val="center"/>
          </w:tcPr>
          <w:p w14:paraId="53296883">
            <w:pPr>
              <w:pStyle w:val="18"/>
              <w:jc w:val="center"/>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4623CD41">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2FDEB749">
            <w:pPr>
              <w:pStyle w:val="1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p>
        </w:tc>
        <w:tc>
          <w:tcPr>
            <w:tcW w:w="804" w:type="pct"/>
            <w:shd w:val="clear" w:color="auto" w:fill="FFFFFF"/>
            <w:noWrap w:val="0"/>
            <w:tcMar>
              <w:top w:w="0" w:type="dxa"/>
              <w:left w:w="105" w:type="dxa"/>
              <w:bottom w:w="0" w:type="dxa"/>
              <w:right w:w="105" w:type="dxa"/>
            </w:tcMar>
            <w:vAlign w:val="center"/>
          </w:tcPr>
          <w:p w14:paraId="29F4B01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p>
        </w:tc>
      </w:tr>
    </w:tbl>
    <w:p w14:paraId="481BAF8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0E9BDFAD">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4452321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74D0C4A1">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524C11E2">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11CFBE9F">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w:t>
      </w:r>
    </w:p>
    <w:p w14:paraId="38BCFED2">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（全称并加盖公章）　　</w:t>
      </w:r>
    </w:p>
    <w:p w14:paraId="73EE9895">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758C498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1D60BCB8">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0F1B2087">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3</w:t>
      </w:r>
      <w:r>
        <w:rPr>
          <w:rFonts w:hint="eastAsia" w:asciiTheme="minorEastAsia" w:hAnsiTheme="minorEastAsia" w:cstheme="minorEastAsia"/>
          <w:b/>
          <w:sz w:val="24"/>
          <w:szCs w:val="24"/>
          <w:highlight w:val="none"/>
          <w:lang w:val="en-US" w:eastAsia="zh-CN"/>
        </w:rPr>
        <w:t>.</w:t>
      </w:r>
      <w:r>
        <w:rPr>
          <w:rFonts w:hint="eastAsia" w:asciiTheme="minorEastAsia" w:hAnsiTheme="minorEastAsia" w:eastAsiaTheme="minorEastAsia" w:cstheme="minorEastAsia"/>
          <w:b/>
          <w:sz w:val="24"/>
          <w:szCs w:val="24"/>
          <w:highlight w:val="none"/>
        </w:rPr>
        <w:t xml:space="preserve"> 资格证明文件</w:t>
      </w:r>
    </w:p>
    <w:p w14:paraId="046E9C42">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3-1 参加竞争性磋商的声明函（若有）</w:t>
      </w:r>
    </w:p>
    <w:p w14:paraId="59A6CFDF">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（采购人或</w:t>
      </w:r>
      <w:r>
        <w:rPr>
          <w:rFonts w:hint="eastAsia" w:asciiTheme="minorEastAsia" w:hAnsiTheme="minorEastAsia" w:cstheme="minorEastAsia"/>
          <w:sz w:val="24"/>
          <w:szCs w:val="24"/>
          <w:highlight w:val="none"/>
          <w:u w:val="single"/>
          <w:lang w:eastAsia="zh-CN"/>
        </w:rPr>
        <w:t>采购单位</w:t>
      </w:r>
      <w:r>
        <w:rPr>
          <w:rFonts w:hint="eastAsia" w:asciiTheme="minorEastAsia" w:hAnsiTheme="minorEastAsia" w:eastAsiaTheme="minorEastAsia" w:cstheme="minorEastAsia"/>
          <w:sz w:val="24"/>
          <w:szCs w:val="24"/>
          <w:highlight w:val="none"/>
          <w:u w:val="single"/>
        </w:rPr>
        <w:t>）</w:t>
      </w:r>
    </w:p>
    <w:p w14:paraId="3CF0D11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1、关于贵方</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日项目（项目编号: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537F3DE2">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2、供应商的基本概况：</w:t>
      </w:r>
    </w:p>
    <w:p w14:paraId="5E0EE1E0">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2.1供应商单位名称：</w:t>
      </w:r>
      <w:r>
        <w:rPr>
          <w:rFonts w:hint="eastAsia" w:asciiTheme="minorEastAsia" w:hAnsiTheme="minorEastAsia" w:eastAsiaTheme="minorEastAsia" w:cstheme="minorEastAsia"/>
          <w:sz w:val="24"/>
          <w:szCs w:val="24"/>
          <w:highlight w:val="none"/>
          <w:u w:val="single"/>
        </w:rPr>
        <w:t xml:space="preserve">           　　 　　 　　</w:t>
      </w:r>
    </w:p>
    <w:p w14:paraId="0565F911">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2.2注册地址：</w:t>
      </w:r>
      <w:r>
        <w:rPr>
          <w:rFonts w:hint="eastAsia" w:asciiTheme="minorEastAsia" w:hAnsiTheme="minorEastAsia" w:eastAsiaTheme="minorEastAsia" w:cstheme="minorEastAsia"/>
          <w:sz w:val="24"/>
          <w:szCs w:val="24"/>
          <w:highlight w:val="none"/>
          <w:u w:val="single"/>
        </w:rPr>
        <w:t xml:space="preserve">           　　 　　 　　 　　</w:t>
      </w:r>
    </w:p>
    <w:p w14:paraId="0F961D0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2.3单位负责人姓名：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职务：</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04FCEBA7">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备注：“单位负责人”指单位法定代表人（供应商为法人的）或法律、法规规定代表单位行使职权的主要负责人（供应商为其他组织的）。</w:t>
      </w:r>
    </w:p>
    <w:p w14:paraId="52639D3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对于接受联合体形式的磋商且供应商是联合体的，则联合体各成员都应当提交本资格证明文件。</w:t>
      </w:r>
    </w:p>
    <w:p w14:paraId="220E636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51256D92">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2677AE2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3AC860B7">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w:t>
      </w:r>
    </w:p>
    <w:p w14:paraId="2C371CE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（全称并加盖公章）</w:t>
      </w:r>
    </w:p>
    <w:p w14:paraId="1C37B70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42DF1FD0">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b/>
          <w:sz w:val="24"/>
          <w:szCs w:val="24"/>
          <w:highlight w:val="none"/>
        </w:rPr>
      </w:pPr>
    </w:p>
    <w:p w14:paraId="1B34BD98">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3-2 供应商的资格声明</w:t>
      </w:r>
    </w:p>
    <w:p w14:paraId="03BC5117">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（采购人或</w:t>
      </w:r>
      <w:r>
        <w:rPr>
          <w:rFonts w:hint="eastAsia" w:asciiTheme="minorEastAsia" w:hAnsiTheme="minorEastAsia" w:cstheme="minorEastAsia"/>
          <w:sz w:val="24"/>
          <w:szCs w:val="24"/>
          <w:highlight w:val="none"/>
          <w:u w:val="single"/>
          <w:lang w:eastAsia="zh-CN"/>
        </w:rPr>
        <w:t>采购单位</w:t>
      </w:r>
      <w:r>
        <w:rPr>
          <w:rFonts w:hint="eastAsia" w:asciiTheme="minorEastAsia" w:hAnsiTheme="minorEastAsia" w:eastAsiaTheme="minorEastAsia" w:cstheme="minorEastAsia"/>
          <w:sz w:val="24"/>
          <w:szCs w:val="24"/>
          <w:highlight w:val="none"/>
          <w:u w:val="single"/>
        </w:rPr>
        <w:t>）</w:t>
      </w:r>
    </w:p>
    <w:p w14:paraId="2EA16040">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13"/>
        <w:gridCol w:w="3330"/>
      </w:tblGrid>
      <w:tr w14:paraId="3C821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vAlign w:val="center"/>
          </w:tcPr>
          <w:p w14:paraId="2F25A33F">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《中华人民共和国政府采购法》第二十二条对供应商的要求</w:t>
            </w:r>
          </w:p>
        </w:tc>
        <w:tc>
          <w:tcPr>
            <w:tcW w:w="1801" w:type="pct"/>
            <w:vAlign w:val="center"/>
          </w:tcPr>
          <w:p w14:paraId="49A24D3E">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供应商对是否符合要求做如实声明</w:t>
            </w:r>
          </w:p>
        </w:tc>
      </w:tr>
      <w:tr w14:paraId="558C1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542AC3A8">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w:t>
            </w:r>
          </w:p>
        </w:tc>
        <w:tc>
          <w:tcPr>
            <w:tcW w:w="1801" w:type="pct"/>
          </w:tcPr>
          <w:p w14:paraId="3EB44BF5">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0F556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6315BF0D">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（2）具有良好的商业信誉和健全的财务会计制度</w:t>
            </w:r>
          </w:p>
        </w:tc>
        <w:tc>
          <w:tcPr>
            <w:tcW w:w="1801" w:type="pct"/>
          </w:tcPr>
          <w:p w14:paraId="25B98CA4">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4AAB5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25634B7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（3）具有履行合同所必需的设备和专业技术能力</w:t>
            </w:r>
          </w:p>
        </w:tc>
        <w:tc>
          <w:tcPr>
            <w:tcW w:w="1801" w:type="pct"/>
          </w:tcPr>
          <w:p w14:paraId="03B6DC5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7549C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486F095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（4）有依法缴纳税收和社会保障资金的良好记录</w:t>
            </w:r>
          </w:p>
        </w:tc>
        <w:tc>
          <w:tcPr>
            <w:tcW w:w="1801" w:type="pct"/>
          </w:tcPr>
          <w:p w14:paraId="5DF369F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171A3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362F1FAD">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（5）参加政府采购活动前三年内，在经营活动中没有重大违法记录</w:t>
            </w:r>
          </w:p>
        </w:tc>
        <w:tc>
          <w:tcPr>
            <w:tcW w:w="1801" w:type="pct"/>
          </w:tcPr>
          <w:p w14:paraId="5D0B488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7B7BE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6DD8763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（6）法律、行政法规规定的其他条件。</w:t>
            </w:r>
          </w:p>
        </w:tc>
        <w:tc>
          <w:tcPr>
            <w:tcW w:w="1801" w:type="pct"/>
          </w:tcPr>
          <w:p w14:paraId="73DFF1C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59E0C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vAlign w:val="center"/>
          </w:tcPr>
          <w:p w14:paraId="046E7AF2">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磋商文件对合格供应商的一般规定</w:t>
            </w:r>
          </w:p>
        </w:tc>
        <w:tc>
          <w:tcPr>
            <w:tcW w:w="1801" w:type="pct"/>
            <w:vAlign w:val="center"/>
          </w:tcPr>
          <w:p w14:paraId="01C4F56E">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供应商对是否违反一般规定做如实声明</w:t>
            </w:r>
          </w:p>
        </w:tc>
      </w:tr>
      <w:tr w14:paraId="61F6E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676C00B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1801" w:type="pct"/>
          </w:tcPr>
          <w:p w14:paraId="3AF744A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65969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6C9974D9">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1801" w:type="pct"/>
          </w:tcPr>
          <w:p w14:paraId="59F1CFD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3D903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8" w:type="pct"/>
          </w:tcPr>
          <w:p w14:paraId="00A63DE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列入失信被执行人、重大税收违法案件当事人名单、政府采购严重违法失信行为记录名单的供应商，不得参加政府采购活动。</w:t>
            </w:r>
          </w:p>
        </w:tc>
        <w:tc>
          <w:tcPr>
            <w:tcW w:w="1801" w:type="pct"/>
          </w:tcPr>
          <w:p w14:paraId="1ADD25C9">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bl>
    <w:p w14:paraId="35B997F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2、我方对上述声明的真实性、合法性、准确性、有效性负责，并愿意根据磋商文件和磋商过程中贵方要求提供全部现有资料、数据、文件等予以证实。</w:t>
      </w:r>
    </w:p>
    <w:p w14:paraId="286BC66D">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备注：对于接受联合体形式的磋商且供应商是联合体的，则联合体各成员都应当提交本资格证明文件。</w:t>
      </w:r>
    </w:p>
    <w:p w14:paraId="569282B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p>
    <w:p w14:paraId="739CD12E">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w:t>
      </w:r>
    </w:p>
    <w:p w14:paraId="7F86B887">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（全称并加盖公章）</w:t>
      </w:r>
    </w:p>
    <w:p w14:paraId="09BF1F80">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7C5B07F5">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018FF16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715002C0">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3-3 单位负责人授权书</w:t>
      </w:r>
    </w:p>
    <w:p w14:paraId="06401DA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（采购人或</w:t>
      </w:r>
      <w:r>
        <w:rPr>
          <w:rFonts w:hint="eastAsia" w:asciiTheme="minorEastAsia" w:hAnsiTheme="minorEastAsia" w:cstheme="minorEastAsia"/>
          <w:sz w:val="24"/>
          <w:szCs w:val="24"/>
          <w:highlight w:val="none"/>
          <w:u w:val="single"/>
          <w:lang w:eastAsia="zh-CN"/>
        </w:rPr>
        <w:t>采购单位</w:t>
      </w:r>
      <w:r>
        <w:rPr>
          <w:rFonts w:hint="eastAsia" w:asciiTheme="minorEastAsia" w:hAnsiTheme="minorEastAsia" w:eastAsiaTheme="minorEastAsia" w:cstheme="minorEastAsia"/>
          <w:sz w:val="24"/>
          <w:szCs w:val="24"/>
          <w:highlight w:val="none"/>
          <w:u w:val="single"/>
        </w:rPr>
        <w:t>）</w:t>
      </w:r>
    </w:p>
    <w:p w14:paraId="085B1F91">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我方的单位负责人</w:t>
      </w:r>
      <w:r>
        <w:rPr>
          <w:rFonts w:hint="eastAsia" w:asciiTheme="minorEastAsia" w:hAnsiTheme="minorEastAsia" w:eastAsiaTheme="minorEastAsia" w:cstheme="minorEastAsia"/>
          <w:sz w:val="24"/>
          <w:szCs w:val="24"/>
          <w:highlight w:val="none"/>
          <w:u w:val="single"/>
        </w:rPr>
        <w:t xml:space="preserve">（填写“单位负责人全名”） </w:t>
      </w:r>
      <w:r>
        <w:rPr>
          <w:rFonts w:hint="eastAsia" w:asciiTheme="minorEastAsia" w:hAnsiTheme="minorEastAsia" w:eastAsiaTheme="minorEastAsia" w:cstheme="minorEastAsia"/>
          <w:sz w:val="24"/>
          <w:szCs w:val="24"/>
          <w:highlight w:val="none"/>
        </w:rPr>
        <w:t>授权</w:t>
      </w:r>
      <w:r>
        <w:rPr>
          <w:rFonts w:hint="eastAsia" w:asciiTheme="minorEastAsia" w:hAnsiTheme="minorEastAsia" w:eastAsiaTheme="minorEastAsia" w:cstheme="minorEastAsia"/>
          <w:sz w:val="24"/>
          <w:szCs w:val="24"/>
          <w:highlight w:val="none"/>
          <w:u w:val="single"/>
        </w:rPr>
        <w:t>（填写“供应商代表全名”）</w:t>
      </w:r>
      <w:r>
        <w:rPr>
          <w:rFonts w:hint="eastAsia" w:asciiTheme="minorEastAsia" w:hAnsiTheme="minorEastAsia" w:eastAsiaTheme="minorEastAsia" w:cstheme="minorEastAsia"/>
          <w:sz w:val="24"/>
          <w:szCs w:val="24"/>
          <w:highlight w:val="none"/>
        </w:rPr>
        <w:t>为我方的供应商代表，代表我方参加</w:t>
      </w:r>
      <w:r>
        <w:rPr>
          <w:rFonts w:hint="eastAsia" w:asciiTheme="minorEastAsia" w:hAnsiTheme="minorEastAsia" w:eastAsiaTheme="minorEastAsia" w:cstheme="minorEastAsia"/>
          <w:sz w:val="24"/>
          <w:szCs w:val="24"/>
          <w:highlight w:val="none"/>
          <w:u w:val="single"/>
        </w:rPr>
        <w:t>（填写“项目名称”）</w:t>
      </w:r>
      <w:r>
        <w:rPr>
          <w:rFonts w:hint="eastAsia" w:asciiTheme="minorEastAsia" w:hAnsiTheme="minorEastAsia" w:eastAsiaTheme="minorEastAsia" w:cstheme="minorEastAsia"/>
          <w:sz w:val="24"/>
          <w:szCs w:val="24"/>
          <w:highlight w:val="none"/>
        </w:rPr>
        <w:t>项目（项目编号：</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19C6A5C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供应商代表无转委权。特此授权。</w:t>
      </w:r>
    </w:p>
    <w:p w14:paraId="6D1AE601">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（以下无正文）</w:t>
      </w:r>
    </w:p>
    <w:p w14:paraId="73C129E3">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lang w:eastAsia="zh-CN"/>
        </w:rPr>
      </w:pPr>
    </w:p>
    <w:p w14:paraId="3BC6B6CD">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lang w:eastAsia="zh-CN"/>
        </w:rPr>
      </w:pPr>
    </w:p>
    <w:p w14:paraId="0DDB4FFB">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lang w:eastAsia="zh-CN"/>
        </w:rPr>
      </w:pPr>
    </w:p>
    <w:p w14:paraId="50170A1A">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单位负责人：</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身份证号：</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手机：</w:t>
      </w:r>
      <w:r>
        <w:rPr>
          <w:rFonts w:hint="eastAsia" w:asciiTheme="minorEastAsia" w:hAnsiTheme="minorEastAsia" w:eastAsiaTheme="minorEastAsia" w:cstheme="minorEastAsia"/>
          <w:sz w:val="24"/>
          <w:szCs w:val="24"/>
          <w:highlight w:val="none"/>
          <w:u w:val="single"/>
        </w:rPr>
        <w:t>　　　　　</w:t>
      </w:r>
    </w:p>
    <w:p w14:paraId="5B6A5C3A">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身份证号：</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手机：</w:t>
      </w:r>
      <w:r>
        <w:rPr>
          <w:rFonts w:hint="eastAsia" w:asciiTheme="minorEastAsia" w:hAnsiTheme="minorEastAsia" w:eastAsiaTheme="minorEastAsia" w:cstheme="minorEastAsia"/>
          <w:sz w:val="24"/>
          <w:szCs w:val="24"/>
          <w:highlight w:val="none"/>
          <w:u w:val="single"/>
        </w:rPr>
        <w:t>　　　　　</w:t>
      </w:r>
    </w:p>
    <w:p w14:paraId="3C1401C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u w:val="single"/>
          <w:lang w:eastAsia="zh-CN"/>
        </w:rPr>
      </w:pPr>
    </w:p>
    <w:p w14:paraId="3C138F2F">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授权方</w:t>
      </w:r>
    </w:p>
    <w:p w14:paraId="271E8DC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u w:val="single"/>
        </w:rPr>
        <w:t>（全称并加盖单位公章）</w:t>
      </w:r>
    </w:p>
    <w:p w14:paraId="4A569B3F">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rPr>
        <w:t>单位负责人签字或盖章：</w:t>
      </w:r>
      <w:r>
        <w:rPr>
          <w:rFonts w:hint="eastAsia" w:asciiTheme="minorEastAsia" w:hAnsiTheme="minorEastAsia" w:eastAsiaTheme="minorEastAsia" w:cstheme="minorEastAsia"/>
          <w:sz w:val="24"/>
          <w:szCs w:val="24"/>
          <w:highlight w:val="none"/>
          <w:u w:val="single"/>
        </w:rPr>
        <w:t>　　　　　　　　　　</w:t>
      </w:r>
    </w:p>
    <w:p w14:paraId="5E1BD52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u w:val="single"/>
          <w:lang w:eastAsia="zh-CN"/>
        </w:rPr>
      </w:pPr>
    </w:p>
    <w:p w14:paraId="47FEABA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接受授权方</w:t>
      </w:r>
    </w:p>
    <w:p w14:paraId="39F02D4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供应商代表签字：</w:t>
      </w:r>
      <w:r>
        <w:rPr>
          <w:rFonts w:hint="eastAsia" w:asciiTheme="minorEastAsia" w:hAnsiTheme="minorEastAsia" w:eastAsiaTheme="minorEastAsia" w:cstheme="minorEastAsia"/>
          <w:sz w:val="24"/>
          <w:szCs w:val="24"/>
          <w:highlight w:val="none"/>
          <w:u w:val="single"/>
        </w:rPr>
        <w:t>　　　　　　　　　　</w:t>
      </w:r>
    </w:p>
    <w:p w14:paraId="5BB5658D">
      <w:pPr>
        <w:pStyle w:val="4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签署日期：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453250CC">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附：单位负责人、供应商代表的身份证正反面复印件</w:t>
      </w:r>
    </w:p>
    <w:p w14:paraId="17110B4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要求：真实、有效、清晰</w:t>
      </w:r>
    </w:p>
    <w:p w14:paraId="6F0536A2">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※注意：</w:t>
      </w:r>
    </w:p>
    <w:p w14:paraId="63782F1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1、企业（银行、保险、石油石化、电力、电信等行业除外）、事业单位和社会团体法人的“单位负责人”指法定代表人，即与实际提交的“营业执照等证明文件”载明的一致。</w:t>
      </w:r>
    </w:p>
    <w:p w14:paraId="5C90CCD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24B664FB">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00345FC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4、对于接受联合体形式的磋商且供应商是联合体的，则只需要联合体的牵头方提交本授权书，在纸质响应文件正本中的本授权书应为原件</w:t>
      </w:r>
      <w:r>
        <w:rPr>
          <w:rFonts w:hint="eastAsia" w:asciiTheme="minorEastAsia" w:hAnsiTheme="minorEastAsia" w:cstheme="minorEastAsia"/>
          <w:sz w:val="24"/>
          <w:szCs w:val="24"/>
          <w:highlight w:val="none"/>
          <w:lang w:eastAsia="zh-CN"/>
        </w:rPr>
        <w:t>。</w:t>
      </w:r>
    </w:p>
    <w:p w14:paraId="1B95E38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616F0A25">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49EC3151">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3-4 营业执照等证明文件</w:t>
      </w:r>
    </w:p>
    <w:p w14:paraId="648D19C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（采购人或</w:t>
      </w:r>
      <w:r>
        <w:rPr>
          <w:rFonts w:hint="eastAsia" w:asciiTheme="minorEastAsia" w:hAnsiTheme="minorEastAsia" w:cstheme="minorEastAsia"/>
          <w:sz w:val="24"/>
          <w:szCs w:val="24"/>
          <w:highlight w:val="none"/>
          <w:u w:val="single"/>
          <w:lang w:eastAsia="zh-CN"/>
        </w:rPr>
        <w:t>采购单位</w:t>
      </w:r>
      <w:r>
        <w:rPr>
          <w:rFonts w:hint="eastAsia" w:asciiTheme="minorEastAsia" w:hAnsiTheme="minorEastAsia" w:eastAsiaTheme="minorEastAsia" w:cstheme="minorEastAsia"/>
          <w:sz w:val="24"/>
          <w:szCs w:val="24"/>
          <w:highlight w:val="none"/>
          <w:u w:val="single"/>
        </w:rPr>
        <w:t>）</w:t>
      </w:r>
    </w:p>
    <w:p w14:paraId="6D032CB5">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）供应商为法人（包括企业、事业单位和社会团体）的</w:t>
      </w:r>
    </w:p>
    <w:p w14:paraId="54C954FE">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现附上由</w:t>
      </w:r>
      <w:r>
        <w:rPr>
          <w:rFonts w:hint="eastAsia" w:asciiTheme="minorEastAsia" w:hAnsiTheme="minorEastAsia" w:eastAsiaTheme="minorEastAsia" w:cstheme="minorEastAsia"/>
          <w:sz w:val="24"/>
          <w:szCs w:val="24"/>
          <w:highlight w:val="none"/>
          <w:u w:val="single"/>
        </w:rPr>
        <w:t>（填写“签发机关全称”）</w:t>
      </w:r>
      <w:r>
        <w:rPr>
          <w:rFonts w:hint="eastAsia" w:asciiTheme="minorEastAsia" w:hAnsiTheme="minorEastAsia" w:eastAsiaTheme="minorEastAsia" w:cstheme="minorEastAsia"/>
          <w:sz w:val="24"/>
          <w:szCs w:val="24"/>
          <w:highlight w:val="none"/>
        </w:rPr>
        <w:t>签发的我方统一社会信用代码</w:t>
      </w:r>
      <w:r>
        <w:rPr>
          <w:rFonts w:hint="eastAsia" w:asciiTheme="minorEastAsia" w:hAnsiTheme="minorEastAsia" w:eastAsiaTheme="minorEastAsia" w:cstheme="minorEastAsia"/>
          <w:sz w:val="24"/>
          <w:szCs w:val="24"/>
          <w:highlight w:val="none"/>
          <w:u w:val="single"/>
        </w:rPr>
        <w:t>（请填写法人的具体证照名称）</w:t>
      </w:r>
      <w:r>
        <w:rPr>
          <w:rFonts w:hint="eastAsia" w:asciiTheme="minorEastAsia" w:hAnsiTheme="minorEastAsia" w:eastAsiaTheme="minorEastAsia" w:cstheme="minorEastAsia"/>
          <w:sz w:val="24"/>
          <w:szCs w:val="24"/>
          <w:highlight w:val="none"/>
        </w:rPr>
        <w:t>复印件，该证明材料真实有效，否则我方负全部责任。</w:t>
      </w:r>
    </w:p>
    <w:p w14:paraId="06FD83B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）供应商为非法人（包括其他组织、自然人）的</w:t>
      </w:r>
    </w:p>
    <w:p w14:paraId="42090277">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□现附上由</w:t>
      </w:r>
      <w:r>
        <w:rPr>
          <w:rFonts w:hint="eastAsia" w:asciiTheme="minorEastAsia" w:hAnsiTheme="minorEastAsia" w:eastAsiaTheme="minorEastAsia" w:cstheme="minorEastAsia"/>
          <w:sz w:val="24"/>
          <w:szCs w:val="24"/>
          <w:highlight w:val="none"/>
          <w:u w:val="single"/>
        </w:rPr>
        <w:t>（填写“签发机关全称”）</w:t>
      </w:r>
      <w:r>
        <w:rPr>
          <w:rFonts w:hint="eastAsia" w:asciiTheme="minorEastAsia" w:hAnsiTheme="minorEastAsia" w:eastAsiaTheme="minorEastAsia" w:cstheme="minorEastAsia"/>
          <w:sz w:val="24"/>
          <w:szCs w:val="24"/>
          <w:highlight w:val="none"/>
        </w:rPr>
        <w:t>签发的我方统一社会信用代码</w:t>
      </w:r>
      <w:r>
        <w:rPr>
          <w:rFonts w:hint="eastAsia" w:asciiTheme="minorEastAsia" w:hAnsiTheme="minorEastAsia" w:eastAsiaTheme="minorEastAsia" w:cstheme="minorEastAsia"/>
          <w:sz w:val="24"/>
          <w:szCs w:val="24"/>
          <w:highlight w:val="none"/>
          <w:u w:val="single"/>
        </w:rPr>
        <w:t>（请填写非自然人的非法人的具体证照名称）</w:t>
      </w:r>
      <w:r>
        <w:rPr>
          <w:rFonts w:hint="eastAsia" w:asciiTheme="minorEastAsia" w:hAnsiTheme="minorEastAsia" w:eastAsiaTheme="minorEastAsia" w:cstheme="minorEastAsia"/>
          <w:sz w:val="24"/>
          <w:szCs w:val="24"/>
          <w:highlight w:val="none"/>
        </w:rPr>
        <w:t>复印件，该证明材料真实有效，否则我方负全部责任。</w:t>
      </w:r>
    </w:p>
    <w:p w14:paraId="29768C5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□现附上由</w:t>
      </w:r>
      <w:r>
        <w:rPr>
          <w:rFonts w:hint="eastAsia" w:asciiTheme="minorEastAsia" w:hAnsiTheme="minorEastAsia" w:eastAsiaTheme="minorEastAsia" w:cstheme="minorEastAsia"/>
          <w:sz w:val="24"/>
          <w:szCs w:val="24"/>
          <w:highlight w:val="none"/>
          <w:u w:val="single"/>
        </w:rPr>
        <w:t>（填写“签发机关全称”）</w:t>
      </w:r>
      <w:r>
        <w:rPr>
          <w:rFonts w:hint="eastAsia" w:asciiTheme="minorEastAsia" w:hAnsiTheme="minorEastAsia" w:eastAsiaTheme="minorEastAsia" w:cstheme="minorEastAsia"/>
          <w:sz w:val="24"/>
          <w:szCs w:val="24"/>
          <w:highlight w:val="none"/>
        </w:rPr>
        <w:t>签发的我方统一社会信用代码</w:t>
      </w:r>
      <w:r>
        <w:rPr>
          <w:rFonts w:hint="eastAsia" w:asciiTheme="minorEastAsia" w:hAnsiTheme="minorEastAsia" w:eastAsiaTheme="minorEastAsia" w:cstheme="minorEastAsia"/>
          <w:sz w:val="24"/>
          <w:szCs w:val="24"/>
          <w:highlight w:val="none"/>
          <w:u w:val="single"/>
        </w:rPr>
        <w:t>（请填写自然人的身份证件名称）</w:t>
      </w:r>
      <w:r>
        <w:rPr>
          <w:rFonts w:hint="eastAsia" w:asciiTheme="minorEastAsia" w:hAnsiTheme="minorEastAsia" w:eastAsiaTheme="minorEastAsia" w:cstheme="minorEastAsia"/>
          <w:sz w:val="24"/>
          <w:szCs w:val="24"/>
          <w:highlight w:val="none"/>
        </w:rPr>
        <w:t>复印件，该证明材料真实有效，否则我方负全部责任。</w:t>
      </w:r>
    </w:p>
    <w:p w14:paraId="0EB97E65">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0EFAFB0A">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3DE8901F">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※注意：</w:t>
      </w:r>
    </w:p>
    <w:p w14:paraId="089905F2">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1、请供应商根据实际情况填写，在相应的（）中打“√”并选择相应的“□”（若有）后，再按照本格式的要求提供相应证明材料的复印件。</w:t>
      </w:r>
    </w:p>
    <w:p w14:paraId="57150855">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25FACDB">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3、对于接受联合体形式的磋商且供应商是联合体的，则联合体各成员都应当提交本资格证明文件。</w:t>
      </w:r>
    </w:p>
    <w:p w14:paraId="495DC2E0">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2DF323C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428FC1D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w:t>
      </w:r>
    </w:p>
    <w:p w14:paraId="65E7FB5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（全称并加盖公章）</w:t>
      </w:r>
    </w:p>
    <w:p w14:paraId="6598BFF3">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063725B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6989FEC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21B28C06">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14:paraId="54A61180">
      <w:pPr>
        <w:pStyle w:val="18"/>
        <w:widowControl/>
        <w:spacing w:before="75" w:beforeAutospacing="0" w:after="75" w:afterAutospacing="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3-5 </w:t>
      </w:r>
      <w:r>
        <w:rPr>
          <w:rFonts w:hint="eastAsia" w:asciiTheme="minorEastAsia" w:hAnsiTheme="minorEastAsia" w:eastAsiaTheme="minorEastAsia" w:cstheme="minorEastAsia"/>
          <w:b/>
          <w:sz w:val="24"/>
          <w:szCs w:val="24"/>
          <w:highlight w:val="none"/>
          <w:lang w:val="en-US" w:eastAsia="zh-CN"/>
        </w:rPr>
        <w:t>关于</w:t>
      </w:r>
      <w:r>
        <w:rPr>
          <w:rFonts w:hint="eastAsia" w:asciiTheme="minorEastAsia" w:hAnsiTheme="minorEastAsia" w:eastAsiaTheme="minorEastAsia" w:cstheme="minorEastAsia"/>
          <w:b/>
          <w:sz w:val="24"/>
          <w:szCs w:val="24"/>
          <w:highlight w:val="none"/>
        </w:rPr>
        <w:t>“财务状况报告”项、“依法缴纳税收的相关证明材料”项和“依法缴纳社会保障资金的相关证明材料”</w:t>
      </w:r>
      <w:r>
        <w:rPr>
          <w:rFonts w:hint="eastAsia" w:asciiTheme="minorEastAsia" w:hAnsiTheme="minorEastAsia" w:eastAsiaTheme="minorEastAsia" w:cstheme="minorEastAsia"/>
          <w:b/>
          <w:sz w:val="24"/>
          <w:szCs w:val="24"/>
          <w:highlight w:val="none"/>
          <w:lang w:val="en-US" w:eastAsia="zh-CN"/>
        </w:rPr>
        <w:t>承诺函</w:t>
      </w:r>
    </w:p>
    <w:p w14:paraId="18C911EE">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t> </w:t>
      </w:r>
    </w:p>
    <w:p w14:paraId="05A1BFDE">
      <w:pPr>
        <w:widowControl/>
        <w:spacing w:line="360" w:lineRule="auto"/>
        <w:jc w:val="lef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致：</w:t>
      </w:r>
      <w:r>
        <w:rPr>
          <w:rFonts w:ascii="宋体" w:hAnsi="宋体" w:eastAsia="宋体" w:cs="宋体"/>
          <w:color w:val="auto"/>
          <w:kern w:val="0"/>
          <w:sz w:val="24"/>
          <w:highlight w:val="none"/>
          <w:u w:val="single"/>
          <w:lang w:bidi="ar"/>
        </w:rPr>
        <w:t xml:space="preserve"> （采购人、</w:t>
      </w:r>
      <w:r>
        <w:rPr>
          <w:rFonts w:hint="eastAsia" w:ascii="宋体" w:hAnsi="宋体" w:eastAsia="宋体" w:cs="宋体"/>
          <w:color w:val="auto"/>
          <w:kern w:val="0"/>
          <w:sz w:val="24"/>
          <w:highlight w:val="none"/>
          <w:u w:val="single"/>
          <w:lang w:eastAsia="zh-CN" w:bidi="ar"/>
        </w:rPr>
        <w:t>采购单位</w:t>
      </w:r>
      <w:r>
        <w:rPr>
          <w:rFonts w:ascii="宋体" w:hAnsi="宋体" w:eastAsia="宋体" w:cs="宋体"/>
          <w:color w:val="auto"/>
          <w:kern w:val="0"/>
          <w:sz w:val="24"/>
          <w:highlight w:val="none"/>
          <w:u w:val="single"/>
          <w:lang w:bidi="ar"/>
        </w:rPr>
        <w:t>）</w:t>
      </w:r>
      <w:r>
        <w:rPr>
          <w:rFonts w:ascii="宋体" w:hAnsi="宋体" w:eastAsia="宋体" w:cs="宋体"/>
          <w:color w:val="auto"/>
          <w:kern w:val="0"/>
          <w:sz w:val="24"/>
          <w:highlight w:val="none"/>
          <w:lang w:bidi="ar"/>
        </w:rPr>
        <w:t xml:space="preserve"> </w:t>
      </w:r>
    </w:p>
    <w:p w14:paraId="5BD154EF">
      <w:pPr>
        <w:widowControl/>
        <w:spacing w:line="360" w:lineRule="auto"/>
        <w:ind w:firstLine="480" w:firstLineChars="200"/>
        <w:jc w:val="left"/>
        <w:rPr>
          <w:rFonts w:ascii="宋体" w:hAnsi="宋体" w:eastAsia="宋体" w:cs="宋体"/>
          <w:color w:val="auto"/>
          <w:kern w:val="0"/>
          <w:sz w:val="24"/>
          <w:highlight w:val="none"/>
          <w:lang w:bidi="ar"/>
        </w:rPr>
      </w:pPr>
    </w:p>
    <w:p w14:paraId="5977F0A3">
      <w:pPr>
        <w:widowControl/>
        <w:spacing w:line="360" w:lineRule="auto"/>
        <w:ind w:firstLine="480" w:firstLineChars="200"/>
        <w:jc w:val="lef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 xml:space="preserve">我单位参与 </w:t>
      </w:r>
      <w:r>
        <w:rPr>
          <w:rFonts w:ascii="宋体" w:hAnsi="宋体" w:eastAsia="宋体" w:cs="宋体"/>
          <w:color w:val="auto"/>
          <w:kern w:val="0"/>
          <w:sz w:val="24"/>
          <w:highlight w:val="none"/>
          <w:u w:val="single"/>
          <w:lang w:bidi="ar"/>
        </w:rPr>
        <w:t xml:space="preserve">（项目名称）（项目编号： </w:t>
      </w:r>
      <w:r>
        <w:rPr>
          <w:rFonts w:hint="eastAsia" w:ascii="宋体" w:hAnsi="宋体" w:eastAsia="宋体" w:cs="宋体"/>
          <w:color w:val="auto"/>
          <w:kern w:val="0"/>
          <w:sz w:val="24"/>
          <w:highlight w:val="none"/>
          <w:u w:val="single"/>
          <w:lang w:bidi="ar"/>
        </w:rPr>
        <w:t xml:space="preserve"> </w:t>
      </w:r>
      <w:r>
        <w:rPr>
          <w:rFonts w:ascii="宋体" w:hAnsi="宋体" w:eastAsia="宋体" w:cs="宋体"/>
          <w:color w:val="auto"/>
          <w:kern w:val="0"/>
          <w:sz w:val="24"/>
          <w:highlight w:val="none"/>
          <w:u w:val="single"/>
          <w:lang w:bidi="ar"/>
        </w:rPr>
        <w:t>）</w:t>
      </w:r>
      <w:r>
        <w:rPr>
          <w:rFonts w:ascii="宋体" w:hAnsi="宋体" w:eastAsia="宋体" w:cs="宋体"/>
          <w:color w:val="auto"/>
          <w:kern w:val="0"/>
          <w:sz w:val="24"/>
          <w:highlight w:val="none"/>
          <w:lang w:bidi="ar"/>
        </w:rPr>
        <w:t>项目的政府采购活动，现承诺如下：</w:t>
      </w:r>
    </w:p>
    <w:p w14:paraId="02EF85F7">
      <w:pPr>
        <w:widowControl/>
        <w:numPr>
          <w:ilvl w:val="0"/>
          <w:numId w:val="11"/>
        </w:numPr>
        <w:spacing w:line="360" w:lineRule="auto"/>
        <w:ind w:firstLine="480" w:firstLineChars="200"/>
        <w:jc w:val="lef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我单位具有符合采购文件资格要求的财务状况报告。</w:t>
      </w:r>
    </w:p>
    <w:p w14:paraId="05908880">
      <w:pPr>
        <w:widowControl/>
        <w:numPr>
          <w:ilvl w:val="0"/>
          <w:numId w:val="11"/>
        </w:numPr>
        <w:spacing w:line="360" w:lineRule="auto"/>
        <w:ind w:firstLine="480" w:firstLineChars="200"/>
        <w:jc w:val="lef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我单位具有符合采购文件资格要求的依法缴纳税收</w:t>
      </w:r>
      <w:r>
        <w:rPr>
          <w:rFonts w:hint="eastAsia" w:ascii="宋体" w:hAnsi="宋体" w:eastAsia="宋体" w:cs="宋体"/>
          <w:color w:val="auto"/>
          <w:kern w:val="0"/>
          <w:sz w:val="24"/>
          <w:highlight w:val="none"/>
          <w:lang w:bidi="ar"/>
        </w:rPr>
        <w:t>的相关</w:t>
      </w:r>
      <w:r>
        <w:rPr>
          <w:rFonts w:ascii="宋体" w:hAnsi="宋体" w:eastAsia="宋体" w:cs="宋体"/>
          <w:color w:val="auto"/>
          <w:kern w:val="0"/>
          <w:sz w:val="24"/>
          <w:highlight w:val="none"/>
          <w:lang w:bidi="ar"/>
        </w:rPr>
        <w:t xml:space="preserve">证明材料。 </w:t>
      </w:r>
    </w:p>
    <w:p w14:paraId="3EFC7E0C">
      <w:pPr>
        <w:widowControl/>
        <w:numPr>
          <w:ilvl w:val="0"/>
          <w:numId w:val="11"/>
        </w:numPr>
        <w:spacing w:line="360" w:lineRule="auto"/>
        <w:ind w:firstLine="480" w:firstLineChars="200"/>
        <w:jc w:val="left"/>
        <w:rPr>
          <w:color w:val="auto"/>
          <w:highlight w:val="none"/>
        </w:rPr>
      </w:pPr>
      <w:r>
        <w:rPr>
          <w:rFonts w:ascii="宋体" w:hAnsi="宋体" w:eastAsia="宋体" w:cs="宋体"/>
          <w:color w:val="auto"/>
          <w:kern w:val="0"/>
          <w:sz w:val="24"/>
          <w:highlight w:val="none"/>
          <w:lang w:bidi="ar"/>
        </w:rPr>
        <w:t>我单位具有符合采购文件资格要求的依法缴纳社会保障资金</w:t>
      </w:r>
      <w:r>
        <w:rPr>
          <w:rFonts w:hint="eastAsia" w:ascii="宋体" w:hAnsi="宋体" w:eastAsia="宋体" w:cs="宋体"/>
          <w:color w:val="auto"/>
          <w:kern w:val="0"/>
          <w:sz w:val="24"/>
          <w:highlight w:val="none"/>
          <w:lang w:bidi="ar"/>
        </w:rPr>
        <w:t>的相关</w:t>
      </w:r>
      <w:r>
        <w:rPr>
          <w:rFonts w:ascii="宋体" w:hAnsi="宋体" w:eastAsia="宋体" w:cs="宋体"/>
          <w:color w:val="auto"/>
          <w:kern w:val="0"/>
          <w:sz w:val="24"/>
          <w:highlight w:val="none"/>
          <w:lang w:bidi="ar"/>
        </w:rPr>
        <w:t xml:space="preserve">证明材料。 </w:t>
      </w:r>
    </w:p>
    <w:p w14:paraId="678214A6">
      <w:pPr>
        <w:widowControl/>
        <w:numPr>
          <w:ilvl w:val="0"/>
          <w:numId w:val="11"/>
        </w:numPr>
        <w:spacing w:line="360" w:lineRule="auto"/>
        <w:ind w:firstLine="480" w:firstLineChars="200"/>
        <w:jc w:val="left"/>
        <w:rPr>
          <w:color w:val="auto"/>
          <w:highlight w:val="none"/>
        </w:rPr>
      </w:pPr>
      <w:r>
        <w:rPr>
          <w:rFonts w:ascii="宋体" w:hAnsi="宋体" w:eastAsia="宋体" w:cs="宋体"/>
          <w:color w:val="auto"/>
          <w:kern w:val="0"/>
          <w:sz w:val="24"/>
          <w:highlight w:val="none"/>
          <w:lang w:bidi="ar"/>
        </w:rPr>
        <w:t xml:space="preserve">若我单位承诺不实，自愿承担提供虚假材料谋取中标、 成交的法律责任。 </w:t>
      </w:r>
    </w:p>
    <w:p w14:paraId="5A4C42BC">
      <w:pPr>
        <w:spacing w:line="360" w:lineRule="auto"/>
        <w:ind w:firstLine="480" w:firstLineChars="200"/>
        <w:rPr>
          <w:rFonts w:hint="eastAsia" w:ascii="宋体" w:hAnsi="宋体" w:eastAsia="宋体" w:cs="宋体"/>
          <w:color w:val="auto"/>
          <w:kern w:val="0"/>
          <w:sz w:val="24"/>
          <w:highlight w:val="none"/>
          <w:lang w:eastAsia="zh-CN" w:bidi="ar"/>
        </w:rPr>
      </w:pPr>
    </w:p>
    <w:p w14:paraId="0595020C">
      <w:pPr>
        <w:spacing w:line="360" w:lineRule="auto"/>
        <w:ind w:firstLine="480" w:firstLineChars="200"/>
        <w:rPr>
          <w:rFonts w:ascii="仿宋" w:hAnsi="仿宋" w:eastAsia="仿宋" w:cs="仿宋"/>
          <w:color w:val="auto"/>
          <w:kern w:val="0"/>
          <w:sz w:val="28"/>
          <w:szCs w:val="28"/>
          <w:highlight w:val="none"/>
          <w:shd w:val="clear" w:color="auto" w:fill="FFFFFF"/>
          <w:lang w:bidi="ar"/>
        </w:rPr>
      </w:pPr>
      <w:r>
        <w:rPr>
          <w:rFonts w:hint="eastAsia" w:ascii="宋体" w:hAnsi="宋体" w:eastAsia="宋体" w:cs="宋体"/>
          <w:color w:val="auto"/>
          <w:kern w:val="0"/>
          <w:sz w:val="24"/>
          <w:highlight w:val="none"/>
          <w:lang w:eastAsia="zh-CN" w:bidi="ar"/>
        </w:rPr>
        <w:t>注：</w:t>
      </w:r>
      <w:r>
        <w:rPr>
          <w:rFonts w:ascii="宋体" w:hAnsi="宋体" w:eastAsia="宋体" w:cs="宋体"/>
          <w:kern w:val="0"/>
          <w:sz w:val="24"/>
          <w:szCs w:val="24"/>
          <w:highlight w:val="none"/>
          <w:lang w:val="en-US" w:eastAsia="zh-CN" w:bidi="ar"/>
        </w:rPr>
        <w:t>采购人有权在签订合同前要求中标供应商提供相关证明材料以核实中标供应商承诺事项的真实性。供应商应当遵循诚实守信的原则，不得作出虚假承诺，承诺不实的，属于提供虚假材料谋取中标、成交，依法追究相关法律责任</w:t>
      </w:r>
      <w:r>
        <w:rPr>
          <w:rFonts w:hint="eastAsia" w:ascii="宋体" w:hAnsi="宋体" w:eastAsia="宋体" w:cs="宋体"/>
          <w:kern w:val="0"/>
          <w:sz w:val="24"/>
          <w:szCs w:val="24"/>
          <w:highlight w:val="none"/>
          <w:lang w:val="en-US" w:eastAsia="zh-CN" w:bidi="ar"/>
        </w:rPr>
        <w:t>。</w:t>
      </w:r>
    </w:p>
    <w:p w14:paraId="7405A3F6">
      <w:pPr>
        <w:widowControl/>
        <w:spacing w:line="360" w:lineRule="auto"/>
        <w:jc w:val="left"/>
        <w:rPr>
          <w:rFonts w:hint="eastAsia" w:ascii="宋体" w:hAnsi="宋体" w:eastAsia="宋体" w:cs="宋体"/>
          <w:color w:val="auto"/>
          <w:kern w:val="0"/>
          <w:sz w:val="24"/>
          <w:highlight w:val="none"/>
          <w:lang w:eastAsia="zh-CN" w:bidi="ar"/>
        </w:rPr>
      </w:pPr>
    </w:p>
    <w:p w14:paraId="1FB007E8">
      <w:pPr>
        <w:widowControl/>
        <w:spacing w:line="360" w:lineRule="auto"/>
        <w:ind w:firstLine="480" w:firstLineChars="200"/>
        <w:jc w:val="lef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承诺供应商（全称并加盖公章）：</w:t>
      </w:r>
      <w:r>
        <w:rPr>
          <w:rFonts w:hint="eastAsia" w:ascii="宋体" w:hAnsi="宋体" w:eastAsia="宋体" w:cs="宋体"/>
          <w:color w:val="auto"/>
          <w:kern w:val="0"/>
          <w:sz w:val="24"/>
          <w:highlight w:val="none"/>
          <w:u w:val="single"/>
          <w:lang w:bidi="ar"/>
        </w:rPr>
        <w:t xml:space="preserve">                    </w:t>
      </w:r>
      <w:r>
        <w:rPr>
          <w:rFonts w:ascii="宋体" w:hAnsi="宋体" w:eastAsia="宋体" w:cs="宋体"/>
          <w:color w:val="auto"/>
          <w:kern w:val="0"/>
          <w:sz w:val="24"/>
          <w:highlight w:val="none"/>
          <w:lang w:bidi="ar"/>
        </w:rPr>
        <w:t xml:space="preserve"> </w:t>
      </w:r>
    </w:p>
    <w:p w14:paraId="4261C1A9">
      <w:pPr>
        <w:widowControl/>
        <w:spacing w:line="360" w:lineRule="auto"/>
        <w:ind w:firstLine="480" w:firstLineChars="200"/>
        <w:jc w:val="lef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单位负责人或授权代表（签字）：</w:t>
      </w:r>
      <w:r>
        <w:rPr>
          <w:rFonts w:hint="eastAsia" w:ascii="宋体" w:hAnsi="宋体" w:eastAsia="宋体" w:cs="宋体"/>
          <w:color w:val="auto"/>
          <w:kern w:val="0"/>
          <w:sz w:val="24"/>
          <w:highlight w:val="none"/>
          <w:u w:val="single"/>
          <w:lang w:bidi="ar"/>
        </w:rPr>
        <w:t xml:space="preserve">                    </w:t>
      </w:r>
      <w:r>
        <w:rPr>
          <w:rFonts w:ascii="宋体" w:hAnsi="宋体" w:eastAsia="宋体" w:cs="宋体"/>
          <w:color w:val="auto"/>
          <w:kern w:val="0"/>
          <w:sz w:val="24"/>
          <w:highlight w:val="none"/>
          <w:lang w:bidi="ar"/>
        </w:rPr>
        <w:t xml:space="preserve"> </w:t>
      </w:r>
    </w:p>
    <w:p w14:paraId="59A48395">
      <w:pPr>
        <w:widowControl/>
        <w:spacing w:line="360" w:lineRule="auto"/>
        <w:ind w:firstLine="480" w:firstLineChars="200"/>
        <w:jc w:val="lef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日期：</w:t>
      </w:r>
      <w:r>
        <w:rPr>
          <w:rFonts w:hint="eastAsia" w:ascii="宋体" w:hAnsi="宋体" w:eastAsia="宋体" w:cs="宋体"/>
          <w:color w:val="auto"/>
          <w:kern w:val="0"/>
          <w:sz w:val="24"/>
          <w:highlight w:val="none"/>
          <w:u w:val="single"/>
          <w:lang w:bidi="ar"/>
        </w:rPr>
        <w:t xml:space="preserve">                    </w:t>
      </w:r>
      <w:r>
        <w:rPr>
          <w:rFonts w:ascii="宋体" w:hAnsi="宋体" w:eastAsia="宋体" w:cs="宋体"/>
          <w:color w:val="auto"/>
          <w:kern w:val="0"/>
          <w:sz w:val="24"/>
          <w:highlight w:val="none"/>
          <w:lang w:bidi="ar"/>
        </w:rPr>
        <w:t xml:space="preserve"> </w:t>
      </w:r>
    </w:p>
    <w:p w14:paraId="43E18AFD">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p>
    <w:p w14:paraId="0F6EF232">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p>
    <w:p w14:paraId="6DD39DB7">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14:paraId="240023FC">
      <w:pPr>
        <w:pStyle w:val="48"/>
        <w:keepNext w:val="0"/>
        <w:keepLines w:val="0"/>
        <w:pageBreakBefore w:val="0"/>
        <w:kinsoku/>
        <w:wordWrap/>
        <w:overflowPunct/>
        <w:topLinePunct w:val="0"/>
        <w:autoSpaceDE/>
        <w:autoSpaceDN/>
        <w:bidi w:val="0"/>
        <w:adjustRightInd/>
        <w:snapToGrid/>
        <w:spacing w:line="360" w:lineRule="auto"/>
        <w:jc w:val="both"/>
        <w:textAlignment w:val="auto"/>
        <w:outlineLvl w:val="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3-</w:t>
      </w:r>
      <w:r>
        <w:rPr>
          <w:rFonts w:hint="eastAsia" w:asciiTheme="minorEastAsia" w:hAnsi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rPr>
        <w:t>参加采购活动前三年内在经营活动中没有重大违法记录书面声明</w:t>
      </w:r>
    </w:p>
    <w:p w14:paraId="6F27D759">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p>
    <w:p w14:paraId="566D71C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（采购人或</w:t>
      </w:r>
      <w:r>
        <w:rPr>
          <w:rFonts w:hint="eastAsia" w:asciiTheme="minorEastAsia" w:hAnsiTheme="minorEastAsia" w:cstheme="minorEastAsia"/>
          <w:sz w:val="24"/>
          <w:szCs w:val="24"/>
          <w:highlight w:val="none"/>
          <w:u w:val="single"/>
          <w:lang w:eastAsia="zh-CN"/>
        </w:rPr>
        <w:t>采购单位</w:t>
      </w:r>
      <w:r>
        <w:rPr>
          <w:rFonts w:hint="eastAsia" w:asciiTheme="minorEastAsia" w:hAnsiTheme="minorEastAsia" w:eastAsiaTheme="minorEastAsia" w:cstheme="minorEastAsia"/>
          <w:sz w:val="24"/>
          <w:szCs w:val="24"/>
          <w:highlight w:val="none"/>
          <w:u w:val="single"/>
        </w:rPr>
        <w:t>）</w:t>
      </w:r>
    </w:p>
    <w:p w14:paraId="763B0D1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163FD97">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0D94C45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特此申明。</w:t>
      </w:r>
    </w:p>
    <w:p w14:paraId="7CDAE37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7FFA25AE">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（全称并加盖公章）</w:t>
      </w:r>
    </w:p>
    <w:p w14:paraId="1C9CECF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2EBB828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※注意：</w:t>
      </w:r>
    </w:p>
    <w:p w14:paraId="39D8748F">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2AC4E4C">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2、请供应商根据实际情况如实声明，否则视为提供虚假材料。</w:t>
      </w:r>
    </w:p>
    <w:p w14:paraId="729C4CC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53B93D4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32D03944">
      <w:pPr>
        <w:pStyle w:val="48"/>
        <w:keepNext w:val="0"/>
        <w:keepLines w:val="0"/>
        <w:pageBreakBefore w:val="0"/>
        <w:kinsoku/>
        <w:wordWrap/>
        <w:overflowPunct/>
        <w:topLinePunct w:val="0"/>
        <w:autoSpaceDE/>
        <w:autoSpaceDN/>
        <w:bidi w:val="0"/>
        <w:adjustRightInd/>
        <w:snapToGrid/>
        <w:spacing w:line="360" w:lineRule="auto"/>
        <w:jc w:val="center"/>
        <w:textAlignment w:val="auto"/>
        <w:rPr>
          <w:highlight w:val="none"/>
        </w:rPr>
      </w:pPr>
      <w:r>
        <w:rPr>
          <w:rStyle w:val="24"/>
          <w:rFonts w:hint="eastAsia" w:ascii="宋体" w:hAnsi="宋体" w:eastAsia="宋体" w:cs="宋体"/>
          <w:b/>
          <w:bCs/>
          <w:spacing w:val="0"/>
          <w:sz w:val="24"/>
          <w:szCs w:val="24"/>
          <w:highlight w:val="none"/>
          <w:lang w:val="en-US" w:eastAsia="zh-CN"/>
        </w:rPr>
        <w:t>3-7</w:t>
      </w:r>
      <w:r>
        <w:rPr>
          <w:rStyle w:val="24"/>
          <w:rFonts w:hint="eastAsia" w:ascii="宋体" w:hAnsi="宋体" w:eastAsia="宋体" w:cs="宋体"/>
          <w:b/>
          <w:bCs/>
          <w:spacing w:val="0"/>
          <w:sz w:val="24"/>
          <w:szCs w:val="24"/>
          <w:highlight w:val="none"/>
        </w:rPr>
        <w:t>信用记录查询结果</w:t>
      </w:r>
    </w:p>
    <w:p w14:paraId="53D07239">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 </w:t>
      </w:r>
    </w:p>
    <w:p w14:paraId="72E80E90">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(采购人或</w:t>
      </w:r>
      <w:r>
        <w:rPr>
          <w:rFonts w:hint="eastAsia" w:eastAsia="宋体" w:cs="宋体"/>
          <w:spacing w:val="0"/>
          <w:sz w:val="24"/>
          <w:szCs w:val="24"/>
          <w:highlight w:val="none"/>
          <w:u w:val="single"/>
          <w:lang w:eastAsia="zh-CN"/>
        </w:rPr>
        <w:t>采购单位</w:t>
      </w:r>
      <w:r>
        <w:rPr>
          <w:rFonts w:hint="eastAsia" w:ascii="宋体" w:hAnsi="宋体" w:eastAsia="宋体" w:cs="宋体"/>
          <w:spacing w:val="0"/>
          <w:sz w:val="24"/>
          <w:szCs w:val="24"/>
          <w:highlight w:val="none"/>
          <w:u w:val="single"/>
        </w:rPr>
        <w:t>)     </w:t>
      </w:r>
    </w:p>
    <w:p w14:paraId="2193FE69">
      <w:pPr>
        <w:pStyle w:val="18"/>
        <w:keepNext w:val="0"/>
        <w:keepLines w:val="0"/>
        <w:widowControl/>
        <w:suppressLineNumbers w:val="0"/>
        <w:spacing w:before="75" w:beforeAutospacing="0" w:after="75" w:afterAutospacing="0" w:line="435" w:lineRule="atLeast"/>
        <w:ind w:left="0" w:right="0" w:firstLine="480"/>
        <w:rPr>
          <w:highlight w:val="none"/>
        </w:rPr>
      </w:pPr>
      <w:r>
        <w:rPr>
          <w:rFonts w:hint="eastAsia" w:ascii="宋体" w:hAnsi="宋体" w:eastAsia="宋体" w:cs="宋体"/>
          <w:spacing w:val="0"/>
          <w:sz w:val="24"/>
          <w:szCs w:val="24"/>
          <w:highlight w:val="none"/>
        </w:rPr>
        <w:t>现附上截至</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时我方通过“信用中国”网站（www.creditchina.gov.cn）获取的我方信用信息查询结果</w:t>
      </w:r>
      <w:r>
        <w:rPr>
          <w:rFonts w:hint="eastAsia" w:ascii="宋体" w:hAnsi="宋体" w:eastAsia="宋体" w:cs="宋体"/>
          <w:spacing w:val="0"/>
          <w:sz w:val="24"/>
          <w:szCs w:val="24"/>
          <w:highlight w:val="none"/>
          <w:u w:val="single"/>
        </w:rPr>
        <w:t>（填写具体份数）</w:t>
      </w:r>
      <w:r>
        <w:rPr>
          <w:rFonts w:hint="eastAsia" w:ascii="宋体" w:hAnsi="宋体" w:eastAsia="宋体" w:cs="宋体"/>
          <w:spacing w:val="0"/>
          <w:sz w:val="24"/>
          <w:szCs w:val="24"/>
          <w:highlight w:val="none"/>
        </w:rPr>
        <w:t>份、通过中国政府采购网（www.ccgp.gov.cn）获取的我方信用信息查询结果</w:t>
      </w:r>
      <w:r>
        <w:rPr>
          <w:rFonts w:hint="eastAsia" w:ascii="宋体" w:hAnsi="宋体" w:eastAsia="宋体" w:cs="宋体"/>
          <w:spacing w:val="0"/>
          <w:sz w:val="24"/>
          <w:szCs w:val="24"/>
          <w:highlight w:val="none"/>
          <w:u w:val="single"/>
        </w:rPr>
        <w:t>（填写具体份数）</w:t>
      </w:r>
      <w:r>
        <w:rPr>
          <w:rFonts w:hint="eastAsia" w:ascii="宋体" w:hAnsi="宋体" w:eastAsia="宋体" w:cs="宋体"/>
          <w:spacing w:val="0"/>
          <w:sz w:val="24"/>
          <w:szCs w:val="24"/>
          <w:highlight w:val="none"/>
        </w:rPr>
        <w:t>份，上述信用信息查询结果真实有效，否则我方负全部责任。</w:t>
      </w:r>
    </w:p>
    <w:p w14:paraId="2B05C987">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 </w:t>
      </w:r>
    </w:p>
    <w:p w14:paraId="423D88C5">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★注意：</w:t>
      </w:r>
    </w:p>
    <w:p w14:paraId="410491A2">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1"/>
          <w:szCs w:val="21"/>
          <w:highlight w:val="none"/>
        </w:rPr>
        <w:t>1、</w:t>
      </w:r>
      <w:r>
        <w:rPr>
          <w:rFonts w:hint="eastAsia" w:ascii="宋体" w:hAnsi="宋体" w:eastAsia="宋体" w:cs="宋体"/>
          <w:spacing w:val="0"/>
          <w:sz w:val="24"/>
          <w:szCs w:val="24"/>
          <w:highlight w:val="none"/>
        </w:rPr>
        <w:t>供应商应</w:t>
      </w:r>
      <w:r>
        <w:rPr>
          <w:rStyle w:val="24"/>
          <w:rFonts w:hint="eastAsia" w:ascii="宋体" w:hAnsi="宋体" w:eastAsia="宋体" w:cs="宋体"/>
          <w:b/>
          <w:bCs/>
          <w:spacing w:val="0"/>
          <w:sz w:val="24"/>
          <w:szCs w:val="24"/>
          <w:highlight w:val="none"/>
        </w:rPr>
        <w:t>同时提供</w:t>
      </w:r>
      <w:r>
        <w:rPr>
          <w:rFonts w:hint="eastAsia" w:ascii="宋体" w:hAnsi="宋体" w:eastAsia="宋体" w:cs="宋体"/>
          <w:spacing w:val="0"/>
          <w:sz w:val="24"/>
          <w:szCs w:val="24"/>
          <w:highlight w:val="none"/>
        </w:rPr>
        <w:t>在磋商文件要求的首次响应文件递交截止时点前通过上述2个网站获取的信用信息查询结果，信用信息查询结果应为从上述网站获取的查询结果原始页面的打印件或完整截图，</w:t>
      </w:r>
      <w:r>
        <w:rPr>
          <w:rStyle w:val="24"/>
          <w:rFonts w:hint="eastAsia" w:ascii="宋体" w:hAnsi="宋体" w:eastAsia="宋体" w:cs="宋体"/>
          <w:b/>
          <w:bCs/>
          <w:spacing w:val="0"/>
          <w:sz w:val="24"/>
          <w:szCs w:val="24"/>
          <w:highlight w:val="none"/>
        </w:rPr>
        <w:t>否则其响应文件将被否决。</w:t>
      </w:r>
    </w:p>
    <w:p w14:paraId="6E16465F">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2、若本项目接受联合体响应磋商且供应商为联合体，则联合体各成员均应</w:t>
      </w:r>
      <w:r>
        <w:rPr>
          <w:rStyle w:val="24"/>
          <w:rFonts w:hint="eastAsia" w:ascii="宋体" w:hAnsi="宋体" w:eastAsia="宋体" w:cs="宋体"/>
          <w:b/>
          <w:bCs/>
          <w:spacing w:val="0"/>
          <w:sz w:val="24"/>
          <w:szCs w:val="24"/>
          <w:highlight w:val="none"/>
        </w:rPr>
        <w:t>同时提供</w:t>
      </w:r>
      <w:r>
        <w:rPr>
          <w:rFonts w:hint="eastAsia" w:ascii="宋体" w:hAnsi="宋体" w:eastAsia="宋体" w:cs="宋体"/>
          <w:spacing w:val="0"/>
          <w:sz w:val="24"/>
          <w:szCs w:val="24"/>
          <w:highlight w:val="none"/>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14:paraId="7BBB7C8A">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3、联合体成员存在不良信用记录的，视同联合体存在不良信用记录，</w:t>
      </w:r>
      <w:r>
        <w:rPr>
          <w:rStyle w:val="24"/>
          <w:rFonts w:hint="eastAsia" w:ascii="宋体" w:hAnsi="宋体" w:eastAsia="宋体" w:cs="宋体"/>
          <w:b/>
          <w:bCs/>
          <w:spacing w:val="0"/>
          <w:sz w:val="24"/>
          <w:szCs w:val="24"/>
          <w:highlight w:val="none"/>
        </w:rPr>
        <w:t>其响应文件将被否决。</w:t>
      </w:r>
    </w:p>
    <w:p w14:paraId="5DB56A9B">
      <w:pPr>
        <w:pStyle w:val="18"/>
        <w:keepNext w:val="0"/>
        <w:keepLines w:val="0"/>
        <w:widowControl/>
        <w:suppressLineNumbers w:val="0"/>
        <w:spacing w:before="75" w:beforeAutospacing="0" w:after="75" w:afterAutospacing="0" w:line="435" w:lineRule="atLeast"/>
        <w:ind w:left="0" w:right="0" w:firstLine="0"/>
        <w:rPr>
          <w:highlight w:val="none"/>
        </w:rPr>
      </w:pPr>
      <w:r>
        <w:rPr>
          <w:rStyle w:val="24"/>
          <w:rFonts w:hint="eastAsia" w:ascii="宋体" w:hAnsi="宋体" w:eastAsia="宋体" w:cs="宋体"/>
          <w:b/>
          <w:bCs/>
          <w:spacing w:val="0"/>
          <w:sz w:val="24"/>
          <w:szCs w:val="24"/>
          <w:highlight w:val="none"/>
        </w:rPr>
        <w:t>※除上述规定外，信用记录的其他有关规定（包括但不限于：信用信息的查询渠道及截止时点、查询记录和证据留存的具体方式、使用规则等内容）详见磋商文件第一章。 </w:t>
      </w:r>
    </w:p>
    <w:p w14:paraId="4B774616">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 </w:t>
      </w:r>
    </w:p>
    <w:p w14:paraId="4B694A8B">
      <w:pPr>
        <w:pStyle w:val="18"/>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 </w:t>
      </w:r>
    </w:p>
    <w:p w14:paraId="0F075E78">
      <w:pPr>
        <w:pStyle w:val="18"/>
        <w:keepNext w:val="0"/>
        <w:keepLines w:val="0"/>
        <w:widowControl/>
        <w:suppressLineNumbers w:val="0"/>
        <w:spacing w:before="75" w:beforeAutospacing="0" w:after="75" w:afterAutospacing="0" w:line="435" w:lineRule="atLeast"/>
        <w:ind w:left="0" w:right="0" w:firstLine="0"/>
        <w:jc w:val="both"/>
        <w:rPr>
          <w:highlight w:val="none"/>
        </w:rPr>
      </w:pPr>
      <w:r>
        <w:rPr>
          <w:rFonts w:hint="eastAsia" w:ascii="宋体" w:hAnsi="宋体" w:eastAsia="宋体" w:cs="宋体"/>
          <w:spacing w:val="0"/>
          <w:sz w:val="24"/>
          <w:szCs w:val="24"/>
          <w:highlight w:val="none"/>
        </w:rPr>
        <w:t>供应商代表：</w:t>
      </w:r>
      <w:r>
        <w:rPr>
          <w:rFonts w:hint="eastAsia" w:ascii="宋体" w:hAnsi="宋体" w:eastAsia="宋体" w:cs="宋体"/>
          <w:spacing w:val="0"/>
          <w:sz w:val="24"/>
          <w:szCs w:val="24"/>
          <w:highlight w:val="none"/>
          <w:u w:val="single"/>
        </w:rPr>
        <w:t>             （签字） </w:t>
      </w:r>
    </w:p>
    <w:p w14:paraId="337AA6F9">
      <w:pPr>
        <w:pStyle w:val="18"/>
        <w:keepNext w:val="0"/>
        <w:keepLines w:val="0"/>
        <w:widowControl/>
        <w:suppressLineNumbers w:val="0"/>
        <w:spacing w:before="75" w:beforeAutospacing="0" w:after="75" w:afterAutospacing="0" w:line="435" w:lineRule="atLeast"/>
        <w:ind w:left="0" w:right="0" w:firstLine="0"/>
        <w:jc w:val="both"/>
        <w:rPr>
          <w:highlight w:val="none"/>
        </w:rPr>
      </w:pPr>
      <w:r>
        <w:rPr>
          <w:rFonts w:hint="eastAsia" w:ascii="宋体" w:hAnsi="宋体" w:eastAsia="宋体" w:cs="宋体"/>
          <w:spacing w:val="0"/>
          <w:sz w:val="24"/>
          <w:szCs w:val="24"/>
          <w:highlight w:val="none"/>
        </w:rPr>
        <w:t>供应商名称：</w:t>
      </w:r>
      <w:r>
        <w:rPr>
          <w:rFonts w:hint="eastAsia" w:ascii="宋体" w:hAnsi="宋体" w:eastAsia="宋体" w:cs="宋体"/>
          <w:spacing w:val="0"/>
          <w:sz w:val="24"/>
          <w:szCs w:val="24"/>
          <w:highlight w:val="none"/>
          <w:u w:val="single"/>
        </w:rPr>
        <w:t>         （全称并加盖公章）              </w:t>
      </w:r>
    </w:p>
    <w:p w14:paraId="5851B46B">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spacing w:val="0"/>
          <w:sz w:val="24"/>
          <w:szCs w:val="24"/>
          <w:highlight w:val="none"/>
        </w:rPr>
        <w:t>日  期： </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 </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 </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w:t>
      </w:r>
    </w:p>
    <w:p w14:paraId="10E98A59">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1F790BF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22CEE2F8">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13102A4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0FD5484C">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3-</w:t>
      </w:r>
      <w:r>
        <w:rPr>
          <w:rFonts w:hint="eastAsia" w:asciiTheme="minorEastAsia" w:hAnsiTheme="minorEastAsia" w:cstheme="minorEastAsia"/>
          <w:b/>
          <w:sz w:val="24"/>
          <w:szCs w:val="24"/>
          <w:highlight w:val="none"/>
          <w:lang w:val="en-US" w:eastAsia="zh-CN"/>
        </w:rPr>
        <w:t>8</w:t>
      </w:r>
      <w:r>
        <w:rPr>
          <w:rFonts w:hint="eastAsia" w:asciiTheme="minorEastAsia" w:hAnsiTheme="minorEastAsia" w:eastAsiaTheme="minorEastAsia" w:cstheme="minorEastAsia"/>
          <w:b/>
          <w:sz w:val="24"/>
          <w:szCs w:val="24"/>
          <w:highlight w:val="none"/>
        </w:rPr>
        <w:t xml:space="preserve"> 其它资格证明文件</w:t>
      </w:r>
    </w:p>
    <w:p w14:paraId="4A6C93ED">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（若有）</w:t>
      </w:r>
    </w:p>
    <w:p w14:paraId="308822AC">
      <w:pPr>
        <w:pStyle w:val="48"/>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sz w:val="24"/>
          <w:szCs w:val="24"/>
          <w:highlight w:val="none"/>
        </w:rPr>
      </w:pPr>
    </w:p>
    <w:p w14:paraId="2C085B91">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p>
    <w:p w14:paraId="7BC7439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1、采购人或</w:t>
      </w:r>
      <w:r>
        <w:rPr>
          <w:rFonts w:hint="eastAsia" w:asciiTheme="minorEastAsia" w:hAnsiTheme="minorEastAsia" w:cstheme="minorEastAsia"/>
          <w:sz w:val="24"/>
          <w:szCs w:val="24"/>
          <w:highlight w:val="none"/>
          <w:lang w:eastAsia="zh-CN"/>
        </w:rPr>
        <w:t>采购单位</w:t>
      </w:r>
      <w:r>
        <w:rPr>
          <w:rFonts w:hint="eastAsia" w:asciiTheme="minorEastAsia" w:hAnsiTheme="minorEastAsia" w:eastAsiaTheme="minorEastAsia" w:cstheme="minorEastAsia"/>
          <w:sz w:val="24"/>
          <w:szCs w:val="24"/>
          <w:highlight w:val="none"/>
        </w:rPr>
        <w:t>可以根据项目的特点和需要，在磋商文件“供应商的资格”中特定资格条件，对其它资格证明文件进行具体规定，供应商应按照磋商文件要求，在此项下提供相关证明材料，并加盖供应商单位公章。</w:t>
      </w:r>
    </w:p>
    <w:p w14:paraId="08E6C3CF">
      <w:pPr>
        <w:pStyle w:val="48"/>
        <w:keepNext w:val="0"/>
        <w:keepLines w:val="0"/>
        <w:pageBreakBefore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若磋商文件规定接受联合体形式且供应商为联合体的，涉及联合体成员的其它资格证明文件在此处提供相关证明材料，并加盖供应商单位公章。</w:t>
      </w:r>
    </w:p>
    <w:p w14:paraId="18D1A340">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05A7C2D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08E9CA9D">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w:t>
      </w:r>
    </w:p>
    <w:p w14:paraId="7293CCA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（全称并加盖公章）</w:t>
      </w:r>
    </w:p>
    <w:p w14:paraId="7320315E">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6B5E8F3B">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28550214">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2461E98E">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14:paraId="63C092B4">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4</w:t>
      </w:r>
      <w:r>
        <w:rPr>
          <w:rFonts w:hint="eastAsia" w:asciiTheme="minorEastAsia" w:hAnsiTheme="minorEastAsia" w:eastAsiaTheme="minorEastAsia" w:cstheme="minorEastAsia"/>
          <w:b/>
          <w:sz w:val="24"/>
          <w:szCs w:val="24"/>
          <w:highlight w:val="none"/>
        </w:rPr>
        <w:t>-1 技术和服务要求响应表</w:t>
      </w:r>
    </w:p>
    <w:p w14:paraId="5421CB8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（全称加盖单位公章）</w:t>
      </w: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sz w:val="24"/>
          <w:szCs w:val="24"/>
          <w:highlight w:val="none"/>
          <w:u w:val="single"/>
        </w:rPr>
        <w:t>　　　　　　　　　　</w:t>
      </w:r>
    </w:p>
    <w:tbl>
      <w:tblPr>
        <w:tblStyle w:val="2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1690"/>
        <w:gridCol w:w="2254"/>
        <w:gridCol w:w="2254"/>
        <w:gridCol w:w="2254"/>
      </w:tblGrid>
      <w:tr w14:paraId="44877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62297D2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采购包</w:t>
            </w:r>
          </w:p>
        </w:tc>
        <w:tc>
          <w:tcPr>
            <w:tcW w:w="914" w:type="pct"/>
          </w:tcPr>
          <w:p w14:paraId="4659FAED">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章节条目号</w:t>
            </w:r>
          </w:p>
        </w:tc>
        <w:tc>
          <w:tcPr>
            <w:tcW w:w="1219" w:type="pct"/>
          </w:tcPr>
          <w:p w14:paraId="6DC533D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竞争性磋商文件规定的技术和服务要求</w:t>
            </w:r>
          </w:p>
        </w:tc>
        <w:tc>
          <w:tcPr>
            <w:tcW w:w="1219" w:type="pct"/>
          </w:tcPr>
          <w:p w14:paraId="01B2DF28">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响应文件响应承诺</w:t>
            </w:r>
          </w:p>
        </w:tc>
        <w:tc>
          <w:tcPr>
            <w:tcW w:w="1219" w:type="pct"/>
          </w:tcPr>
          <w:p w14:paraId="6037A74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是否偏离及说明</w:t>
            </w:r>
          </w:p>
        </w:tc>
      </w:tr>
      <w:tr w14:paraId="73D44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4F40504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tc>
        <w:tc>
          <w:tcPr>
            <w:tcW w:w="914" w:type="pct"/>
          </w:tcPr>
          <w:p w14:paraId="5848798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5F6ADB80">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458D99B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16E4E82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51EBA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2F3CF7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tc>
        <w:tc>
          <w:tcPr>
            <w:tcW w:w="914" w:type="pct"/>
          </w:tcPr>
          <w:p w14:paraId="0A2E4351">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172D9D91">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5B7925B5">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6A9D5853">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6E2BB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754E798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tc>
        <w:tc>
          <w:tcPr>
            <w:tcW w:w="914" w:type="pct"/>
          </w:tcPr>
          <w:p w14:paraId="4FA1588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44D50DD5">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578C2130">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1388FD2D">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bl>
    <w:p w14:paraId="09B8C2B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w:t>
      </w:r>
      <w:r>
        <w:rPr>
          <w:rFonts w:hint="eastAsia" w:asciiTheme="minorEastAsia" w:hAnsiTheme="minorEastAsia" w:cstheme="minorEastAsia"/>
          <w:b/>
          <w:sz w:val="24"/>
          <w:szCs w:val="24"/>
          <w:highlight w:val="none"/>
          <w:lang w:eastAsia="zh-CN"/>
        </w:rPr>
        <w:t>采购单位</w:t>
      </w:r>
      <w:r>
        <w:rPr>
          <w:rFonts w:hint="eastAsia" w:asciiTheme="minorEastAsia" w:hAnsiTheme="minorEastAsia" w:eastAsiaTheme="minorEastAsia" w:cstheme="minorEastAsia"/>
          <w:b/>
          <w:sz w:val="24"/>
          <w:szCs w:val="24"/>
          <w:highlight w:val="none"/>
        </w:rPr>
        <w:t>造成损失的，还必须进行赔偿并负相关责任。</w:t>
      </w:r>
    </w:p>
    <w:p w14:paraId="6AF6677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126FB4F3">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highlight w:val="none"/>
          <w:lang w:eastAsia="zh-CN"/>
        </w:rPr>
      </w:pPr>
    </w:p>
    <w:p w14:paraId="05DD8BB8">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41E76D6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供应商代表签字：</w:t>
      </w:r>
      <w:r>
        <w:rPr>
          <w:rFonts w:hint="eastAsia" w:asciiTheme="minorEastAsia" w:hAnsiTheme="minorEastAsia" w:eastAsiaTheme="minorEastAsia" w:cstheme="minorEastAsia"/>
          <w:sz w:val="24"/>
          <w:szCs w:val="24"/>
          <w:highlight w:val="none"/>
          <w:u w:val="single"/>
        </w:rPr>
        <w:t>　　　　　　　　　　</w:t>
      </w:r>
    </w:p>
    <w:p w14:paraId="7C0C11D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09D52A68">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334E2D25">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4"/>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4</w:t>
      </w:r>
      <w:r>
        <w:rPr>
          <w:rFonts w:hint="eastAsia" w:asciiTheme="minorEastAsia" w:hAnsiTheme="minorEastAsia" w:eastAsiaTheme="minorEastAsia" w:cstheme="minorEastAsia"/>
          <w:b/>
          <w:sz w:val="24"/>
          <w:szCs w:val="24"/>
          <w:highlight w:val="none"/>
        </w:rPr>
        <w:t>-2 商务条件和其它事项响应表</w:t>
      </w:r>
    </w:p>
    <w:p w14:paraId="15D3547B">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（全称加盖单位公章）</w:t>
      </w: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sz w:val="24"/>
          <w:szCs w:val="24"/>
          <w:highlight w:val="none"/>
          <w:u w:val="single"/>
        </w:rPr>
        <w:t>　　　　　　　　　　</w:t>
      </w:r>
    </w:p>
    <w:tbl>
      <w:tblPr>
        <w:tblStyle w:val="2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1690"/>
        <w:gridCol w:w="2254"/>
        <w:gridCol w:w="2254"/>
        <w:gridCol w:w="2254"/>
      </w:tblGrid>
      <w:tr w14:paraId="0D6D0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5F10E12">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采购包</w:t>
            </w:r>
          </w:p>
        </w:tc>
        <w:tc>
          <w:tcPr>
            <w:tcW w:w="914" w:type="pct"/>
          </w:tcPr>
          <w:p w14:paraId="53EF007D">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章节条目号</w:t>
            </w:r>
          </w:p>
        </w:tc>
        <w:tc>
          <w:tcPr>
            <w:tcW w:w="1219" w:type="pct"/>
          </w:tcPr>
          <w:p w14:paraId="34205D6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竞争性磋商文件规定的商务条件要求</w:t>
            </w:r>
          </w:p>
        </w:tc>
        <w:tc>
          <w:tcPr>
            <w:tcW w:w="1219" w:type="pct"/>
          </w:tcPr>
          <w:p w14:paraId="416ABAC1">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响应文件响应承诺</w:t>
            </w:r>
          </w:p>
        </w:tc>
        <w:tc>
          <w:tcPr>
            <w:tcW w:w="1219" w:type="pct"/>
          </w:tcPr>
          <w:p w14:paraId="0493D6E4">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是否偏离及说明</w:t>
            </w:r>
          </w:p>
        </w:tc>
      </w:tr>
      <w:tr w14:paraId="794FB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E860E8A">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tc>
        <w:tc>
          <w:tcPr>
            <w:tcW w:w="914" w:type="pct"/>
          </w:tcPr>
          <w:p w14:paraId="6E1CD7A7">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53D305D8">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57A49174">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1E7BEC61">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495BD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F4593F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tc>
        <w:tc>
          <w:tcPr>
            <w:tcW w:w="914" w:type="pct"/>
          </w:tcPr>
          <w:p w14:paraId="77ED382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4B082C3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22156D15">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4F74DEA3">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14:paraId="24FBE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592E550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tc>
        <w:tc>
          <w:tcPr>
            <w:tcW w:w="914" w:type="pct"/>
          </w:tcPr>
          <w:p w14:paraId="6AF82052">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5127E031">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114B49F5">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9" w:type="pct"/>
          </w:tcPr>
          <w:p w14:paraId="676C630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bl>
    <w:p w14:paraId="23A1BEB4">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w:t>
      </w:r>
      <w:r>
        <w:rPr>
          <w:rFonts w:hint="eastAsia" w:asciiTheme="minorEastAsia" w:hAnsiTheme="minorEastAsia" w:cstheme="minorEastAsia"/>
          <w:b/>
          <w:sz w:val="24"/>
          <w:szCs w:val="24"/>
          <w:highlight w:val="none"/>
          <w:lang w:eastAsia="zh-CN"/>
        </w:rPr>
        <w:t>采购单位</w:t>
      </w:r>
      <w:r>
        <w:rPr>
          <w:rFonts w:hint="eastAsia" w:asciiTheme="minorEastAsia" w:hAnsiTheme="minorEastAsia" w:eastAsiaTheme="minorEastAsia" w:cstheme="minorEastAsia"/>
          <w:b/>
          <w:sz w:val="24"/>
          <w:szCs w:val="24"/>
          <w:highlight w:val="none"/>
        </w:rPr>
        <w:t>造成损失的，还必须进行赔偿并负相关责任。</w:t>
      </w:r>
    </w:p>
    <w:p w14:paraId="1F1D8CD5">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1530D1D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highlight w:val="none"/>
          <w:lang w:eastAsia="zh-CN"/>
        </w:rPr>
      </w:pPr>
    </w:p>
    <w:p w14:paraId="192635DE">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042CFE9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供应商代表签字：</w:t>
      </w:r>
      <w:r>
        <w:rPr>
          <w:rFonts w:hint="eastAsia" w:asciiTheme="minorEastAsia" w:hAnsiTheme="minorEastAsia" w:eastAsiaTheme="minorEastAsia" w:cstheme="minorEastAsia"/>
          <w:sz w:val="24"/>
          <w:szCs w:val="24"/>
          <w:highlight w:val="none"/>
          <w:u w:val="single"/>
        </w:rPr>
        <w:t>　　　　　　　　　　</w:t>
      </w:r>
    </w:p>
    <w:p w14:paraId="191597D4">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21D6A2F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733FB9FD">
      <w:pPr>
        <w:pStyle w:val="48"/>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5.</w:t>
      </w:r>
      <w:r>
        <w:rPr>
          <w:rFonts w:hint="eastAsia" w:asciiTheme="minorEastAsia" w:hAnsiTheme="minorEastAsia" w:eastAsiaTheme="minorEastAsia" w:cstheme="minorEastAsia"/>
          <w:b/>
          <w:sz w:val="24"/>
          <w:szCs w:val="24"/>
          <w:highlight w:val="none"/>
        </w:rPr>
        <w:t xml:space="preserve"> 相关技术、商务、服务响应承诺及资料</w:t>
      </w:r>
    </w:p>
    <w:p w14:paraId="1639B49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p>
    <w:p w14:paraId="18A14FD2">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1.采购人或</w:t>
      </w:r>
      <w:r>
        <w:rPr>
          <w:rFonts w:hint="eastAsia" w:asciiTheme="minorEastAsia" w:hAnsiTheme="minorEastAsia" w:cstheme="minorEastAsia"/>
          <w:sz w:val="24"/>
          <w:szCs w:val="24"/>
          <w:highlight w:val="none"/>
          <w:lang w:eastAsia="zh-CN"/>
        </w:rPr>
        <w:t>采购单位</w:t>
      </w:r>
      <w:r>
        <w:rPr>
          <w:rFonts w:hint="eastAsia" w:asciiTheme="minorEastAsia" w:hAnsiTheme="minorEastAsia" w:eastAsiaTheme="minorEastAsia" w:cstheme="minorEastAsia"/>
          <w:sz w:val="24"/>
          <w:szCs w:val="24"/>
          <w:highlight w:val="none"/>
        </w:rPr>
        <w:t>可以根据项目的特点和需要，在磋商文件中对供应商需要提供的相关技术、商务、服务响应承诺及资料进行具体规定或附表格式，供应商应按照磋商文件要求提供相关承诺及材料，并加盖供应商单位公章。</w:t>
      </w:r>
    </w:p>
    <w:p w14:paraId="731AFD2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2.如果没有特别要求的，供应商根据磋商文件的要求以及特点，提供相关技术、商务、服务响应承诺及资料，格式自拟。</w:t>
      </w:r>
    </w:p>
    <w:p w14:paraId="4C7E369C">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6F8C2E37">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01F5EB74">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0CDA8206">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600079CD">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w:t>
      </w:r>
    </w:p>
    <w:p w14:paraId="2997AEDA">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（全称并加盖公章）</w:t>
      </w:r>
    </w:p>
    <w:p w14:paraId="49A42EB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683F3CA8">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p w14:paraId="76EE74BC">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263DDEBA">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p>
    <w:p w14:paraId="73830D3F">
      <w:pPr>
        <w:pStyle w:val="4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rPr>
        <w:t xml:space="preserve"> 要求作为响应文件组成部分的其他内容（若有）</w:t>
      </w:r>
    </w:p>
    <w:p w14:paraId="01FC201E">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p>
    <w:p w14:paraId="67CB8769">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1、采购人或</w:t>
      </w:r>
      <w:r>
        <w:rPr>
          <w:rFonts w:hint="eastAsia" w:asciiTheme="minorEastAsia" w:hAnsiTheme="minorEastAsia" w:cstheme="minorEastAsia"/>
          <w:sz w:val="24"/>
          <w:szCs w:val="24"/>
          <w:highlight w:val="none"/>
          <w:lang w:eastAsia="zh-CN"/>
        </w:rPr>
        <w:t>采购单位</w:t>
      </w:r>
      <w:r>
        <w:rPr>
          <w:rFonts w:hint="eastAsia" w:asciiTheme="minorEastAsia" w:hAnsiTheme="minorEastAsia" w:eastAsiaTheme="minorEastAsia" w:cstheme="minorEastAsia"/>
          <w:sz w:val="24"/>
          <w:szCs w:val="24"/>
          <w:highlight w:val="none"/>
        </w:rPr>
        <w:t>可以根据项目的特点和需要，在磋商文件中对要求作为响应文件组成部分的其他内容进行具体规定或附表格式，供应商应按照磋商文件要求提供相关承诺及材料，并加盖供应商单位公章。</w:t>
      </w:r>
    </w:p>
    <w:p w14:paraId="774D638D">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2、供应商根据自身实际情况编写有关资料包括如供应商单位简介、竞争性磋商文件要求提供或供应商自已认为体现自身优势，需要补充说明的其它资料，格式自拟。</w:t>
      </w:r>
    </w:p>
    <w:p w14:paraId="2DF2AB2E">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eastAsia="zh-CN"/>
        </w:rPr>
      </w:pPr>
    </w:p>
    <w:p w14:paraId="736890C8">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u w:val="single"/>
        </w:rPr>
        <w:t>　　　（签字）</w:t>
      </w:r>
    </w:p>
    <w:p w14:paraId="1493C3FB">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（全称并加盖公章）　　　</w:t>
      </w:r>
    </w:p>
    <w:p w14:paraId="24E1E925">
      <w:pPr>
        <w:pStyle w:val="4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14:paraId="0B54ADC6">
      <w:pPr>
        <w:pStyle w:val="4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w:t>
      </w:r>
    </w:p>
    <w:sectPr>
      <w:footerReference r:id="rId9" w:type="default"/>
      <w:pgSz w:w="11907" w:h="16840"/>
      <w:pgMar w:top="1440" w:right="1440" w:bottom="1440" w:left="1440" w:header="851" w:footer="992" w:gutter="0"/>
      <w:pgNumType w:start="1"/>
      <w:cols w:space="720" w:num="1"/>
      <w:docGrid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59063EC-3AC2-4DDB-9FBF-18A236FCA6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A043962-57E8-4A99-9306-F0CE071C69A7}"/>
  </w:font>
  <w:font w:name="仿宋">
    <w:panose1 w:val="02010609060101010101"/>
    <w:charset w:val="86"/>
    <w:family w:val="auto"/>
    <w:pitch w:val="default"/>
    <w:sig w:usb0="800002BF" w:usb1="38CF7CFA" w:usb2="00000016" w:usb3="00000000" w:csb0="00040001" w:csb1="00000000"/>
    <w:embedRegular r:id="rId3" w:fontKey="{513C670D-8833-4E46-9344-5BD49306054B}"/>
  </w:font>
  <w:font w:name="方正仿宋_GB2312">
    <w:panose1 w:val="02000000000000000000"/>
    <w:charset w:val="86"/>
    <w:family w:val="auto"/>
    <w:pitch w:val="default"/>
    <w:sig w:usb0="A00002BF" w:usb1="184F6CFA" w:usb2="00000012" w:usb3="00000000" w:csb0="00040001" w:csb1="00000000"/>
    <w:embedRegular r:id="rId4" w:fontKey="{ABCC43F2-858D-4C8C-B915-56B74119984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5" w:fontKey="{11168426-5E3A-4B93-B5EF-AF5BE03E83DE}"/>
  </w:font>
  <w:font w:name="新宋体">
    <w:panose1 w:val="02010609030101010101"/>
    <w:charset w:val="86"/>
    <w:family w:val="modern"/>
    <w:pitch w:val="default"/>
    <w:sig w:usb0="00000003" w:usb1="288F0000" w:usb2="00000006" w:usb3="00000000" w:csb0="00040001" w:csb1="00000000"/>
    <w:embedRegular r:id="rId6" w:fontKey="{7DEBB8D4-F91C-4AB4-BC97-36B97C366A6C}"/>
  </w:font>
  <w:font w:name="Tahoma">
    <w:panose1 w:val="020B0604030504040204"/>
    <w:charset w:val="00"/>
    <w:family w:val="swiss"/>
    <w:pitch w:val="default"/>
    <w:sig w:usb0="E1002EFF" w:usb1="C000605B" w:usb2="00000029" w:usb3="00000000" w:csb0="200101FF" w:csb1="20280000"/>
    <w:embedRegular r:id="rId7" w:fontKey="{DF7E2A1D-0D78-449A-B952-36006F92A6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8154">
    <w:pPr>
      <w:pStyle w:val="13"/>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890B">
    <w:pPr>
      <w:pStyle w:val="13"/>
      <w:framePr w:wrap="around" w:vAnchor="text" w:hAnchor="margin" w:xAlign="center" w:y="2"/>
      <w:rPr>
        <w:rStyle w:val="25"/>
      </w:rPr>
    </w:pPr>
    <w:r>
      <w:fldChar w:fldCharType="begin"/>
    </w:r>
    <w:r>
      <w:rPr>
        <w:rStyle w:val="25"/>
      </w:rPr>
      <w:instrText xml:space="preserve">PAGE  </w:instrText>
    </w:r>
    <w:r>
      <w:fldChar w:fldCharType="separate"/>
    </w:r>
    <w:r>
      <w:rPr>
        <w:rStyle w:val="25"/>
      </w:rPr>
      <w:t>11</w:t>
    </w:r>
    <w:r>
      <w:fldChar w:fldCharType="end"/>
    </w:r>
  </w:p>
  <w:p w14:paraId="2BCCB32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C338">
    <w:pPr>
      <w:pStyle w:val="13"/>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6DDB">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5CE23D5">
                          <w:pPr>
                            <w:pStyle w:val="13"/>
                            <w:rPr>
                              <w:rStyle w:val="25"/>
                            </w:rPr>
                          </w:pPr>
                          <w:r>
                            <w:fldChar w:fldCharType="begin"/>
                          </w:r>
                          <w:r>
                            <w:rPr>
                              <w:rStyle w:val="25"/>
                            </w:rPr>
                            <w:instrText xml:space="preserve">PAGE  </w:instrText>
                          </w:r>
                          <w:r>
                            <w:fldChar w:fldCharType="separate"/>
                          </w:r>
                          <w:r>
                            <w:rPr>
                              <w:rStyle w:val="25"/>
                            </w:rPr>
                            <w:t>49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14:paraId="75CE23D5">
                    <w:pPr>
                      <w:pStyle w:val="13"/>
                      <w:rPr>
                        <w:rStyle w:val="25"/>
                      </w:rPr>
                    </w:pPr>
                    <w:r>
                      <w:fldChar w:fldCharType="begin"/>
                    </w:r>
                    <w:r>
                      <w:rPr>
                        <w:rStyle w:val="25"/>
                      </w:rPr>
                      <w:instrText xml:space="preserve">PAGE  </w:instrText>
                    </w:r>
                    <w:r>
                      <w:fldChar w:fldCharType="separate"/>
                    </w:r>
                    <w:r>
                      <w:rPr>
                        <w:rStyle w:val="25"/>
                      </w:rPr>
                      <w:t>49</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C2C3">
    <w:pPr>
      <w:pStyle w:val="14"/>
      <w:pBdr>
        <w:bottom w:val="none" w:color="auto" w:sz="0" w:space="1"/>
      </w:pBdr>
      <w:jc w:val="left"/>
      <w:rPr>
        <w:rFonts w:hint="eastAsia" w:eastAsia="方正仿宋_GB2312"/>
        <w:sz w:val="24"/>
        <w:szCs w:val="24"/>
        <w:lang w:eastAsia="zh-CN"/>
      </w:rPr>
    </w:pPr>
    <w:r>
      <w:rPr>
        <w:rFonts w:hint="eastAsia"/>
        <w:sz w:val="24"/>
        <w:szCs w:val="24"/>
        <w:lang w:eastAsia="zh-CN"/>
      </w:rPr>
      <w:t>福建省穗龙数字科技有限公司</w:t>
    </w:r>
    <w:r>
      <w:rPr>
        <w:rFonts w:hint="eastAsia"/>
        <w:sz w:val="24"/>
        <w:szCs w:val="24"/>
        <w:lang w:val="en-US" w:eastAsia="zh-CN"/>
      </w:rPr>
      <w:t xml:space="preserve">                               </w:t>
    </w:r>
    <w:r>
      <w:rPr>
        <w:rFonts w:hint="eastAsia"/>
        <w:sz w:val="24"/>
        <w:szCs w:val="24"/>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86B8"/>
    <w:multiLevelType w:val="singleLevel"/>
    <w:tmpl w:val="A9FE86B8"/>
    <w:lvl w:ilvl="0" w:tentative="0">
      <w:start w:val="1"/>
      <w:numFmt w:val="decimal"/>
      <w:lvlText w:val="%1."/>
      <w:lvlJc w:val="left"/>
      <w:pPr>
        <w:tabs>
          <w:tab w:val="left" w:pos="312"/>
        </w:tabs>
      </w:pPr>
    </w:lvl>
  </w:abstractNum>
  <w:abstractNum w:abstractNumId="1">
    <w:nsid w:val="ABAC8384"/>
    <w:multiLevelType w:val="singleLevel"/>
    <w:tmpl w:val="ABAC8384"/>
    <w:lvl w:ilvl="0" w:tentative="0">
      <w:start w:val="3"/>
      <w:numFmt w:val="chineseCounting"/>
      <w:suff w:val="space"/>
      <w:lvlText w:val="第%1章"/>
      <w:lvlJc w:val="left"/>
      <w:rPr>
        <w:rFonts w:hint="eastAsia"/>
      </w:rPr>
    </w:lvl>
  </w:abstractNum>
  <w:abstractNum w:abstractNumId="2">
    <w:nsid w:val="AC67B8F8"/>
    <w:multiLevelType w:val="singleLevel"/>
    <w:tmpl w:val="AC67B8F8"/>
    <w:lvl w:ilvl="0" w:tentative="0">
      <w:start w:val="8"/>
      <w:numFmt w:val="decimal"/>
      <w:suff w:val="space"/>
      <w:lvlText w:val="%1."/>
      <w:lvlJc w:val="left"/>
    </w:lvl>
  </w:abstractNum>
  <w:abstractNum w:abstractNumId="3">
    <w:nsid w:val="CB9D7301"/>
    <w:multiLevelType w:val="singleLevel"/>
    <w:tmpl w:val="CB9D7301"/>
    <w:lvl w:ilvl="0" w:tentative="0">
      <w:start w:val="5"/>
      <w:numFmt w:val="decimal"/>
      <w:suff w:val="nothing"/>
      <w:lvlText w:val="%1、"/>
      <w:lvlJc w:val="left"/>
    </w:lvl>
  </w:abstractNum>
  <w:abstractNum w:abstractNumId="4">
    <w:nsid w:val="DF4F0194"/>
    <w:multiLevelType w:val="singleLevel"/>
    <w:tmpl w:val="DF4F0194"/>
    <w:lvl w:ilvl="0" w:tentative="0">
      <w:start w:val="1"/>
      <w:numFmt w:val="decimal"/>
      <w:suff w:val="nothing"/>
      <w:lvlText w:val="（%1）"/>
      <w:lvlJc w:val="left"/>
    </w:lvl>
  </w:abstractNum>
  <w:abstractNum w:abstractNumId="5">
    <w:nsid w:val="EBAA1E45"/>
    <w:multiLevelType w:val="singleLevel"/>
    <w:tmpl w:val="EBAA1E45"/>
    <w:lvl w:ilvl="0" w:tentative="0">
      <w:start w:val="2"/>
      <w:numFmt w:val="decimal"/>
      <w:suff w:val="nothing"/>
      <w:lvlText w:val="%1、"/>
      <w:lvlJc w:val="left"/>
    </w:lvl>
  </w:abstractNum>
  <w:abstractNum w:abstractNumId="6">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98F6E46"/>
    <w:multiLevelType w:val="singleLevel"/>
    <w:tmpl w:val="098F6E46"/>
    <w:lvl w:ilvl="0" w:tentative="0">
      <w:start w:val="1"/>
      <w:numFmt w:val="decimal"/>
      <w:suff w:val="nothing"/>
      <w:lvlText w:val="%1、"/>
      <w:lvlJc w:val="left"/>
    </w:lvl>
  </w:abstractNum>
  <w:abstractNum w:abstractNumId="8">
    <w:nsid w:val="09962A2F"/>
    <w:multiLevelType w:val="singleLevel"/>
    <w:tmpl w:val="09962A2F"/>
    <w:lvl w:ilvl="0" w:tentative="0">
      <w:start w:val="1"/>
      <w:numFmt w:val="decimal"/>
      <w:pStyle w:val="17"/>
      <w:lvlText w:val="%1."/>
      <w:lvlJc w:val="left"/>
      <w:pPr>
        <w:tabs>
          <w:tab w:val="left" w:pos="2040"/>
        </w:tabs>
        <w:ind w:left="2040" w:hanging="360"/>
      </w:pPr>
    </w:lvl>
  </w:abstractNum>
  <w:abstractNum w:abstractNumId="9">
    <w:nsid w:val="4B60FD96"/>
    <w:multiLevelType w:val="singleLevel"/>
    <w:tmpl w:val="4B60FD96"/>
    <w:lvl w:ilvl="0" w:tentative="0">
      <w:start w:val="1"/>
      <w:numFmt w:val="decimal"/>
      <w:lvlText w:val="(%1)"/>
      <w:lvlJc w:val="left"/>
      <w:pPr>
        <w:tabs>
          <w:tab w:val="left" w:pos="420"/>
        </w:tabs>
        <w:ind w:left="845" w:hanging="425"/>
      </w:pPr>
      <w:rPr>
        <w:rFonts w:hint="default"/>
      </w:rPr>
    </w:lvl>
  </w:abstractNum>
  <w:abstractNum w:abstractNumId="10">
    <w:nsid w:val="5D30FE10"/>
    <w:multiLevelType w:val="singleLevel"/>
    <w:tmpl w:val="5D30FE10"/>
    <w:lvl w:ilvl="0" w:tentative="0">
      <w:start w:val="2"/>
      <w:numFmt w:val="chineseCounting"/>
      <w:suff w:val="nothing"/>
      <w:lvlText w:val="（%1）"/>
      <w:lvlJc w:val="left"/>
      <w:rPr>
        <w:rFonts w:hint="eastAsia"/>
      </w:rPr>
    </w:lvl>
  </w:abstractNum>
  <w:abstractNum w:abstractNumId="11">
    <w:nsid w:val="635A43AC"/>
    <w:multiLevelType w:val="singleLevel"/>
    <w:tmpl w:val="635A43AC"/>
    <w:lvl w:ilvl="0" w:tentative="0">
      <w:start w:val="1"/>
      <w:numFmt w:val="decimal"/>
      <w:suff w:val="nothing"/>
      <w:lvlText w:val="%1、"/>
      <w:lvlJc w:val="left"/>
    </w:lvl>
  </w:abstractNum>
  <w:num w:numId="1">
    <w:abstractNumId w:val="8"/>
  </w:num>
  <w:num w:numId="2">
    <w:abstractNumId w:val="7"/>
  </w:num>
  <w:num w:numId="3">
    <w:abstractNumId w:val="6"/>
  </w:num>
  <w:num w:numId="4">
    <w:abstractNumId w:val="10"/>
  </w:num>
  <w:num w:numId="5">
    <w:abstractNumId w:val="2"/>
  </w:num>
  <w:num w:numId="6">
    <w:abstractNumId w:val="9"/>
  </w:num>
  <w:num w:numId="7">
    <w:abstractNumId w:val="1"/>
  </w:num>
  <w:num w:numId="8">
    <w:abstractNumId w:val="5"/>
  </w:num>
  <w:num w:numId="9">
    <w:abstractNumId w:val="4"/>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TM1ZmU2M2Q4MTZhMTg5M2U2ZmQ0ZjdlZWNjY2UifQ=="/>
  </w:docVars>
  <w:rsids>
    <w:rsidRoot w:val="0AF2465A"/>
    <w:rsid w:val="0010636B"/>
    <w:rsid w:val="001E33A3"/>
    <w:rsid w:val="009F61A0"/>
    <w:rsid w:val="016F283F"/>
    <w:rsid w:val="01B06F9B"/>
    <w:rsid w:val="02524BCF"/>
    <w:rsid w:val="03E40A2E"/>
    <w:rsid w:val="043C4E9B"/>
    <w:rsid w:val="04FE1B50"/>
    <w:rsid w:val="05E0085B"/>
    <w:rsid w:val="06F744CA"/>
    <w:rsid w:val="07CE3976"/>
    <w:rsid w:val="080F7234"/>
    <w:rsid w:val="08555E1A"/>
    <w:rsid w:val="089A2898"/>
    <w:rsid w:val="092B323C"/>
    <w:rsid w:val="09DD6F83"/>
    <w:rsid w:val="0AEC7E09"/>
    <w:rsid w:val="0AF2465A"/>
    <w:rsid w:val="0BC17F4F"/>
    <w:rsid w:val="0C662A91"/>
    <w:rsid w:val="0CDE7251"/>
    <w:rsid w:val="0E413DA7"/>
    <w:rsid w:val="0E594190"/>
    <w:rsid w:val="100B0B0B"/>
    <w:rsid w:val="10627F8C"/>
    <w:rsid w:val="112E543E"/>
    <w:rsid w:val="11414962"/>
    <w:rsid w:val="117F514D"/>
    <w:rsid w:val="13687D85"/>
    <w:rsid w:val="13D8116E"/>
    <w:rsid w:val="155B1395"/>
    <w:rsid w:val="159E329B"/>
    <w:rsid w:val="183627CF"/>
    <w:rsid w:val="1876072A"/>
    <w:rsid w:val="192C54AB"/>
    <w:rsid w:val="1A6C1E1C"/>
    <w:rsid w:val="1A8756F8"/>
    <w:rsid w:val="1BD946BB"/>
    <w:rsid w:val="1D0600A4"/>
    <w:rsid w:val="1D750D86"/>
    <w:rsid w:val="21517385"/>
    <w:rsid w:val="220159F5"/>
    <w:rsid w:val="233A1A3A"/>
    <w:rsid w:val="25BE4D9F"/>
    <w:rsid w:val="263548EB"/>
    <w:rsid w:val="272368EF"/>
    <w:rsid w:val="278B1113"/>
    <w:rsid w:val="27EA557E"/>
    <w:rsid w:val="28526172"/>
    <w:rsid w:val="29064F88"/>
    <w:rsid w:val="293A3114"/>
    <w:rsid w:val="2BD56553"/>
    <w:rsid w:val="2C531E76"/>
    <w:rsid w:val="2C9C4927"/>
    <w:rsid w:val="2CA77FFB"/>
    <w:rsid w:val="2CB92A76"/>
    <w:rsid w:val="2E8A1C81"/>
    <w:rsid w:val="2FBE2B44"/>
    <w:rsid w:val="30A961F7"/>
    <w:rsid w:val="31025897"/>
    <w:rsid w:val="315470BD"/>
    <w:rsid w:val="318C5041"/>
    <w:rsid w:val="31AD5DBE"/>
    <w:rsid w:val="3202321E"/>
    <w:rsid w:val="33381ABF"/>
    <w:rsid w:val="33A57468"/>
    <w:rsid w:val="34572B3B"/>
    <w:rsid w:val="34D776D9"/>
    <w:rsid w:val="36DF67EE"/>
    <w:rsid w:val="3749086D"/>
    <w:rsid w:val="377F1552"/>
    <w:rsid w:val="3784717C"/>
    <w:rsid w:val="38083DD6"/>
    <w:rsid w:val="38E04A9F"/>
    <w:rsid w:val="395D1E12"/>
    <w:rsid w:val="3CAF4565"/>
    <w:rsid w:val="3D431B61"/>
    <w:rsid w:val="3E024D70"/>
    <w:rsid w:val="3EBC60F9"/>
    <w:rsid w:val="3FDF317B"/>
    <w:rsid w:val="40A369CB"/>
    <w:rsid w:val="42A41A29"/>
    <w:rsid w:val="4300619F"/>
    <w:rsid w:val="44BC0EC5"/>
    <w:rsid w:val="46785FD2"/>
    <w:rsid w:val="467A5991"/>
    <w:rsid w:val="468750F3"/>
    <w:rsid w:val="47F11902"/>
    <w:rsid w:val="48496F1C"/>
    <w:rsid w:val="48E238BA"/>
    <w:rsid w:val="498D72C8"/>
    <w:rsid w:val="49C27E46"/>
    <w:rsid w:val="4CBD7ED0"/>
    <w:rsid w:val="4D72001E"/>
    <w:rsid w:val="4D8F5723"/>
    <w:rsid w:val="4D9B4692"/>
    <w:rsid w:val="4DE33048"/>
    <w:rsid w:val="4E1E25B1"/>
    <w:rsid w:val="4F202688"/>
    <w:rsid w:val="50D46877"/>
    <w:rsid w:val="517E430A"/>
    <w:rsid w:val="51AC698D"/>
    <w:rsid w:val="51BC69A8"/>
    <w:rsid w:val="51D069B1"/>
    <w:rsid w:val="51EB5513"/>
    <w:rsid w:val="52121413"/>
    <w:rsid w:val="523E3908"/>
    <w:rsid w:val="53066CFC"/>
    <w:rsid w:val="54FB1595"/>
    <w:rsid w:val="572E0CC1"/>
    <w:rsid w:val="57467A82"/>
    <w:rsid w:val="58DC696D"/>
    <w:rsid w:val="59D20E03"/>
    <w:rsid w:val="5B9C77EE"/>
    <w:rsid w:val="5C5E7BD3"/>
    <w:rsid w:val="5D2D7445"/>
    <w:rsid w:val="5E4C2E61"/>
    <w:rsid w:val="5E5348EF"/>
    <w:rsid w:val="5F393537"/>
    <w:rsid w:val="600A222A"/>
    <w:rsid w:val="61446072"/>
    <w:rsid w:val="624366D2"/>
    <w:rsid w:val="63AD09DA"/>
    <w:rsid w:val="63C146F8"/>
    <w:rsid w:val="63E30422"/>
    <w:rsid w:val="63E64C1B"/>
    <w:rsid w:val="63EC20AC"/>
    <w:rsid w:val="65912675"/>
    <w:rsid w:val="681E67BB"/>
    <w:rsid w:val="6938106F"/>
    <w:rsid w:val="6AA56806"/>
    <w:rsid w:val="6ABB5ABF"/>
    <w:rsid w:val="6B344097"/>
    <w:rsid w:val="6B4C70BE"/>
    <w:rsid w:val="6B50610F"/>
    <w:rsid w:val="6BFD1AC3"/>
    <w:rsid w:val="6C8C5CB0"/>
    <w:rsid w:val="6D675E8F"/>
    <w:rsid w:val="6E045B4B"/>
    <w:rsid w:val="6F2D5E87"/>
    <w:rsid w:val="731C23F4"/>
    <w:rsid w:val="731D0396"/>
    <w:rsid w:val="732526FC"/>
    <w:rsid w:val="73C24A17"/>
    <w:rsid w:val="7590213A"/>
    <w:rsid w:val="75E81168"/>
    <w:rsid w:val="7651560D"/>
    <w:rsid w:val="76C528B2"/>
    <w:rsid w:val="7A4B626B"/>
    <w:rsid w:val="7ACC3797"/>
    <w:rsid w:val="7ACF201F"/>
    <w:rsid w:val="7BC90154"/>
    <w:rsid w:val="7BDE27F0"/>
    <w:rsid w:val="7F494367"/>
    <w:rsid w:val="7F66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1366" w:firstLineChars="200"/>
      <w:jc w:val="both"/>
    </w:pPr>
    <w:rPr>
      <w:rFonts w:ascii="Times New Roman" w:hAnsi="Times New Roman" w:eastAsia="方正仿宋_GB2312"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100" w:beforeLines="100" w:after="100" w:afterLines="100" w:line="240" w:lineRule="auto"/>
      <w:ind w:firstLine="0" w:firstLineChars="0"/>
      <w:outlineLvl w:val="0"/>
    </w:pPr>
    <w:rPr>
      <w:rFonts w:eastAsia="黑体"/>
      <w:b/>
      <w:bCs/>
      <w:kern w:val="44"/>
      <w:sz w:val="30"/>
      <w:szCs w:val="44"/>
    </w:rPr>
  </w:style>
  <w:style w:type="paragraph" w:styleId="4">
    <w:name w:val="heading 2"/>
    <w:basedOn w:val="3"/>
    <w:next w:val="1"/>
    <w:qFormat/>
    <w:uiPriority w:val="0"/>
    <w:pPr>
      <w:keepNext/>
      <w:keepLines/>
      <w:spacing w:before="312" w:beforeLines="100" w:after="312" w:afterLines="100" w:line="240" w:lineRule="auto"/>
      <w:ind w:firstLine="0" w:firstLineChars="0"/>
      <w:outlineLvl w:val="1"/>
    </w:pPr>
    <w:rPr>
      <w:rFonts w:ascii="Arial" w:hAnsi="Arial"/>
      <w:szCs w:val="32"/>
    </w:rPr>
  </w:style>
  <w:style w:type="paragraph" w:styleId="5">
    <w:name w:val="heading 3"/>
    <w:basedOn w:val="1"/>
    <w:next w:val="1"/>
    <w:qFormat/>
    <w:uiPriority w:val="0"/>
    <w:pPr>
      <w:keepNext/>
      <w:keepLines/>
      <w:widowControl w:val="0"/>
      <w:spacing w:before="260" w:after="260" w:line="240" w:lineRule="auto"/>
      <w:ind w:firstLine="0" w:firstLineChars="0"/>
      <w:jc w:val="both"/>
      <w:outlineLvl w:val="2"/>
    </w:pPr>
    <w:rPr>
      <w:rFonts w:ascii="等线" w:hAnsi="等线" w:eastAsia="黑体" w:cs="等线"/>
      <w:sz w:val="28"/>
      <w:szCs w:val="22"/>
    </w:rPr>
  </w:style>
  <w:style w:type="paragraph" w:styleId="6">
    <w:name w:val="heading 4"/>
    <w:basedOn w:val="1"/>
    <w:next w:val="1"/>
    <w:qFormat/>
    <w:uiPriority w:val="0"/>
    <w:pPr>
      <w:keepNext/>
      <w:keepLines/>
      <w:spacing w:before="280" w:after="290" w:line="240" w:lineRule="auto"/>
      <w:ind w:firstLine="0" w:firstLineChars="0"/>
      <w:outlineLvl w:val="3"/>
    </w:pPr>
    <w:rPr>
      <w:rFonts w:ascii="Arial" w:hAnsi="Arial"/>
      <w:b/>
      <w:bCs/>
      <w:sz w:val="28"/>
      <w:szCs w:val="28"/>
    </w:rPr>
  </w:style>
  <w:style w:type="character" w:default="1" w:styleId="23">
    <w:name w:val="Default Paragraph Font"/>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
    <w:name w:val="table of authorities"/>
    <w:basedOn w:val="1"/>
    <w:next w:val="1"/>
    <w:qFormat/>
    <w:uiPriority w:val="0"/>
    <w:pPr>
      <w:spacing w:line="240" w:lineRule="auto"/>
      <w:ind w:left="420" w:leftChars="200" w:firstLine="0" w:firstLineChars="0"/>
    </w:pPr>
    <w:rPr>
      <w:rFonts w:ascii="Times New Roman" w:hAnsi="Times New Roman" w:cs="Times New Roman"/>
      <w:sz w:val="21"/>
      <w:szCs w:val="24"/>
    </w:rPr>
  </w:style>
  <w:style w:type="paragraph" w:styleId="8">
    <w:name w:val="Normal Indent"/>
    <w:basedOn w:val="1"/>
    <w:unhideWhenUsed/>
    <w:qFormat/>
    <w:uiPriority w:val="0"/>
    <w:pPr>
      <w:widowControl/>
      <w:ind w:firstLine="420"/>
      <w:jc w:val="left"/>
    </w:pPr>
    <w:rPr>
      <w:rFonts w:ascii="Times New Roman" w:hAnsi="Times New Roman" w:eastAsia="宋体"/>
      <w:kern w:val="0"/>
      <w:szCs w:val="20"/>
    </w:rPr>
  </w:style>
  <w:style w:type="paragraph" w:styleId="9">
    <w:name w:val="annotation text"/>
    <w:basedOn w:val="1"/>
    <w:qFormat/>
    <w:uiPriority w:val="0"/>
    <w:pPr>
      <w:jc w:val="left"/>
    </w:pPr>
  </w:style>
  <w:style w:type="paragraph" w:styleId="10">
    <w:name w:val="Body Text"/>
    <w:basedOn w:val="1"/>
    <w:next w:val="1"/>
    <w:semiHidden/>
    <w:unhideWhenUsed/>
    <w:qFormat/>
    <w:uiPriority w:val="99"/>
    <w:pPr>
      <w:spacing w:after="120"/>
    </w:pPr>
  </w:style>
  <w:style w:type="paragraph" w:styleId="11">
    <w:name w:val="Body Text Indent"/>
    <w:basedOn w:val="1"/>
    <w:unhideWhenUsed/>
    <w:qFormat/>
    <w:uiPriority w:val="0"/>
    <w:pPr>
      <w:spacing w:line="500" w:lineRule="atLeast"/>
      <w:ind w:firstLine="600" w:firstLineChars="200"/>
    </w:pPr>
    <w:rPr>
      <w:rFonts w:ascii="仿宋_GB2312" w:hAnsi="宋体" w:eastAsia="仿宋_GB2312"/>
      <w:kern w:val="44"/>
      <w:sz w:val="30"/>
      <w:lang w:val="en-GB"/>
    </w:rPr>
  </w:style>
  <w:style w:type="paragraph" w:styleId="12">
    <w:name w:val="Plain Text"/>
    <w:basedOn w:val="1"/>
    <w:unhideWhenUsed/>
    <w:qFormat/>
    <w:uiPriority w:val="0"/>
    <w:pPr>
      <w:widowControl/>
      <w:jc w:val="left"/>
    </w:pPr>
    <w:rPr>
      <w:rFonts w:ascii="宋体" w:hAnsi="Courier New"/>
      <w:kern w:val="0"/>
      <w:szCs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0"/>
    <w:pPr>
      <w:tabs>
        <w:tab w:val="right" w:leader="hyphen" w:pos="9628"/>
      </w:tabs>
      <w:spacing w:before="120" w:after="120" w:line="800" w:lineRule="exact"/>
      <w:jc w:val="left"/>
    </w:pPr>
    <w:rPr>
      <w:rFonts w:ascii="新宋体" w:hAnsi="新宋体" w:eastAsia="新宋体"/>
      <w:b/>
      <w:bCs/>
      <w:caps/>
      <w:kern w:val="0"/>
      <w:sz w:val="28"/>
      <w:szCs w:val="28"/>
    </w:rPr>
  </w:style>
  <w:style w:type="paragraph" w:styleId="16">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7">
    <w:name w:val="List Number 5"/>
    <w:basedOn w:val="1"/>
    <w:qFormat/>
    <w:uiPriority w:val="0"/>
    <w:pPr>
      <w:numPr>
        <w:ilvl w:val="0"/>
        <w:numId w:val="1"/>
      </w:numPr>
    </w:pPr>
  </w:style>
  <w:style w:type="paragraph" w:styleId="18">
    <w:name w:val="Normal (Web)"/>
    <w:basedOn w:val="1"/>
    <w:next w:val="19"/>
    <w:qFormat/>
    <w:uiPriority w:val="0"/>
    <w:pPr>
      <w:widowControl/>
      <w:spacing w:before="100" w:beforeAutospacing="1" w:after="100" w:afterAutospacing="1"/>
      <w:jc w:val="left"/>
    </w:pPr>
    <w:rPr>
      <w:rFonts w:ascii="宋体" w:hAnsi="宋体" w:cs="宋体"/>
      <w:kern w:val="0"/>
      <w:sz w:val="24"/>
    </w:rPr>
  </w:style>
  <w:style w:type="paragraph" w:customStyle="1" w:styleId="19">
    <w:name w:val="样式 标题 3 + (中文) 黑体 小四 非加粗 段前: 7.8 磅 段后: 0 磅 行距: 固定值 20 磅"/>
    <w:basedOn w:val="5"/>
    <w:qFormat/>
    <w:uiPriority w:val="0"/>
    <w:pPr>
      <w:tabs>
        <w:tab w:val="left" w:pos="425"/>
      </w:tabs>
      <w:spacing w:before="0" w:after="0" w:line="400" w:lineRule="exact"/>
    </w:pPr>
    <w:rPr>
      <w:rFonts w:eastAsia="黑体" w:cs="宋体"/>
      <w:sz w:val="24"/>
      <w:szCs w:val="20"/>
    </w:rPr>
  </w:style>
  <w:style w:type="paragraph" w:styleId="20">
    <w:name w:val="index 1"/>
    <w:basedOn w:val="1"/>
    <w:next w:val="1"/>
    <w:qFormat/>
    <w:uiPriority w:val="99"/>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ascii="Tahoma" w:hAnsi="Tahoma"/>
      <w:b/>
      <w:bCs/>
      <w:sz w:val="24"/>
      <w:szCs w:val="20"/>
    </w:rPr>
  </w:style>
  <w:style w:type="character" w:styleId="25">
    <w:name w:val="page number"/>
    <w:basedOn w:val="23"/>
    <w:unhideWhenUsed/>
    <w:qFormat/>
    <w:uiPriority w:val="0"/>
  </w:style>
  <w:style w:type="character" w:styleId="26">
    <w:name w:val="Emphasis"/>
    <w:basedOn w:val="23"/>
    <w:qFormat/>
    <w:uiPriority w:val="0"/>
    <w:rPr>
      <w:i/>
    </w:rPr>
  </w:style>
  <w:style w:type="character" w:styleId="27">
    <w:name w:val="Hyperlink"/>
    <w:basedOn w:val="23"/>
    <w:qFormat/>
    <w:uiPriority w:val="0"/>
    <w:rPr>
      <w:color w:val="0000FF"/>
      <w:u w:val="single"/>
    </w:rPr>
  </w:style>
  <w:style w:type="character" w:styleId="28">
    <w:name w:val="annotation reference"/>
    <w:basedOn w:val="23"/>
    <w:qFormat/>
    <w:uiPriority w:val="0"/>
    <w:rPr>
      <w:sz w:val="21"/>
      <w:szCs w:val="21"/>
    </w:rPr>
  </w:style>
  <w:style w:type="character" w:customStyle="1" w:styleId="29">
    <w:name w:val="标题 1 字符"/>
    <w:link w:val="3"/>
    <w:qFormat/>
    <w:uiPriority w:val="0"/>
    <w:rPr>
      <w:b/>
      <w:bCs/>
      <w:kern w:val="44"/>
      <w:sz w:val="44"/>
      <w:szCs w:val="44"/>
    </w:rPr>
  </w:style>
  <w:style w:type="paragraph" w:customStyle="1" w:styleId="30">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31">
    <w:name w:val="纯文本1"/>
    <w:basedOn w:val="1"/>
    <w:qFormat/>
    <w:uiPriority w:val="0"/>
    <w:rPr>
      <w:rFonts w:ascii="宋体" w:hAnsi="Courier New"/>
      <w:szCs w:val="20"/>
    </w:rPr>
  </w:style>
  <w:style w:type="paragraph" w:customStyle="1" w:styleId="32">
    <w:name w:val="标1"/>
    <w:basedOn w:val="1"/>
    <w:qFormat/>
    <w:uiPriority w:val="0"/>
    <w:pPr>
      <w:tabs>
        <w:tab w:val="left" w:pos="1410"/>
      </w:tabs>
      <w:spacing w:line="500" w:lineRule="exact"/>
      <w:jc w:val="center"/>
      <w:outlineLvl w:val="0"/>
    </w:pPr>
    <w:rPr>
      <w:rFonts w:ascii="新宋体" w:hAnsi="新宋体" w:eastAsia="新宋体"/>
      <w:b/>
      <w:sz w:val="36"/>
      <w:szCs w:val="36"/>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样式3"/>
    <w:basedOn w:val="12"/>
    <w:qFormat/>
    <w:uiPriority w:val="0"/>
    <w:pPr>
      <w:widowControl w:val="0"/>
      <w:spacing w:line="0" w:lineRule="atLeast"/>
      <w:jc w:val="both"/>
      <w:outlineLvl w:val="0"/>
    </w:pPr>
    <w:rPr>
      <w:sz w:val="28"/>
    </w:rPr>
  </w:style>
  <w:style w:type="paragraph" w:customStyle="1" w:styleId="35">
    <w:name w:val="样式1"/>
    <w:basedOn w:val="6"/>
    <w:autoRedefine/>
    <w:qFormat/>
    <w:uiPriority w:val="0"/>
    <w:pPr>
      <w:adjustRightInd w:val="0"/>
      <w:spacing w:line="376" w:lineRule="atLeast"/>
      <w:textAlignment w:val="baseline"/>
    </w:pPr>
    <w:rPr>
      <w:rFonts w:ascii="宋体" w:hAnsi="宋体" w:eastAsia="宋体"/>
      <w:b w:val="0"/>
      <w:bCs w:val="0"/>
      <w:kern w:val="0"/>
      <w:sz w:val="24"/>
      <w:szCs w:val="24"/>
      <w:lang w:val="en-GB"/>
    </w:rPr>
  </w:style>
  <w:style w:type="paragraph" w:customStyle="1" w:styleId="36">
    <w:name w:val="正文缩进1"/>
    <w:basedOn w:val="1"/>
    <w:autoRedefine/>
    <w:qFormat/>
    <w:uiPriority w:val="0"/>
    <w:pPr>
      <w:ind w:firstLine="420"/>
    </w:pPr>
    <w:rPr>
      <w:szCs w:val="20"/>
    </w:rPr>
  </w:style>
  <w:style w:type="paragraph" w:customStyle="1" w:styleId="37">
    <w:name w:val="页眉1"/>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customStyle="1" w:styleId="38">
    <w:name w:val="页脚1"/>
    <w:basedOn w:val="1"/>
    <w:autoRedefine/>
    <w:qFormat/>
    <w:uiPriority w:val="99"/>
    <w:pPr>
      <w:tabs>
        <w:tab w:val="center" w:pos="4153"/>
        <w:tab w:val="right" w:pos="8306"/>
      </w:tabs>
      <w:snapToGrid w:val="0"/>
      <w:jc w:val="left"/>
    </w:pPr>
    <w:rPr>
      <w:sz w:val="18"/>
      <w:szCs w:val="20"/>
    </w:rPr>
  </w:style>
  <w:style w:type="paragraph" w:customStyle="1" w:styleId="39">
    <w:name w:val="正文_122_0_0_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40">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41">
    <w:name w:val="UserStyle_4"/>
    <w:basedOn w:val="1"/>
    <w:autoRedefine/>
    <w:qFormat/>
    <w:uiPriority w:val="0"/>
    <w:pPr>
      <w:jc w:val="left"/>
    </w:pPr>
    <w:rPr>
      <w:kern w:val="0"/>
      <w:sz w:val="24"/>
    </w:rPr>
  </w:style>
  <w:style w:type="paragraph" w:customStyle="1" w:styleId="42">
    <w:name w:val="正文0"/>
    <w:basedOn w:val="1"/>
    <w:autoRedefine/>
    <w:qFormat/>
    <w:uiPriority w:val="99"/>
    <w:pPr>
      <w:autoSpaceDE w:val="0"/>
      <w:autoSpaceDN w:val="0"/>
      <w:adjustRightInd w:val="0"/>
      <w:spacing w:before="240" w:after="60" w:line="360" w:lineRule="atLeast"/>
    </w:pPr>
    <w:rPr>
      <w:b/>
      <w:kern w:val="0"/>
      <w:sz w:val="24"/>
      <w:szCs w:val="20"/>
    </w:rPr>
  </w:style>
  <w:style w:type="paragraph" w:customStyle="1" w:styleId="43">
    <w:name w:val="纯文本_5"/>
    <w:basedOn w:val="1"/>
    <w:autoRedefine/>
    <w:qFormat/>
    <w:uiPriority w:val="0"/>
    <w:rPr>
      <w:rFonts w:ascii="宋体" w:hAnsi="Courier New" w:eastAsia="宋体"/>
      <w:kern w:val="2"/>
      <w:sz w:val="21"/>
      <w:lang w:val="en-US" w:eastAsia="zh-CN" w:bidi="ar-SA"/>
    </w:rPr>
  </w:style>
  <w:style w:type="character" w:customStyle="1" w:styleId="44">
    <w:name w:val="标题 1 Char"/>
    <w:link w:val="3"/>
    <w:autoRedefine/>
    <w:qFormat/>
    <w:uiPriority w:val="0"/>
    <w:rPr>
      <w:rFonts w:ascii="Times New Roman" w:hAnsi="Times New Roman" w:eastAsia="黑体"/>
      <w:b/>
      <w:bCs/>
      <w:kern w:val="44"/>
      <w:sz w:val="30"/>
      <w:szCs w:val="44"/>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styleId="46">
    <w:name w:val="List Paragraph"/>
    <w:basedOn w:val="1"/>
    <w:autoRedefine/>
    <w:qFormat/>
    <w:uiPriority w:val="34"/>
    <w:pPr>
      <w:ind w:firstLine="420" w:firstLineChars="200"/>
    </w:pPr>
    <w:rPr>
      <w:rFonts w:ascii="Calibri" w:hAnsi="Calibri" w:eastAsia="宋体" w:cs="Times New Roman"/>
    </w:rPr>
  </w:style>
  <w:style w:type="paragraph" w:customStyle="1" w:styleId="47">
    <w:name w:val="正文（绿盟科技）"/>
    <w:basedOn w:val="1"/>
    <w:autoRedefine/>
    <w:qFormat/>
    <w:uiPriority w:val="0"/>
    <w:pPr>
      <w:widowControl/>
      <w:spacing w:line="300" w:lineRule="auto"/>
      <w:jc w:val="left"/>
    </w:pPr>
    <w:rPr>
      <w:rFonts w:ascii="Arial" w:hAnsi="Arial"/>
      <w:kern w:val="0"/>
    </w:rPr>
  </w:style>
  <w:style w:type="paragraph" w:customStyle="1" w:styleId="48">
    <w:name w:val="null3"/>
    <w:autoRedefine/>
    <w:hidden/>
    <w:qFormat/>
    <w:uiPriority w:val="0"/>
    <w:rPr>
      <w:rFonts w:hint="eastAsia" w:asciiTheme="minorHAnsi" w:hAnsiTheme="minorHAnsi" w:eastAsiaTheme="minorEastAsia" w:cstheme="minorBidi"/>
      <w:lang w:val="en-US" w:eastAsia="zh-Hans"/>
    </w:rPr>
  </w:style>
  <w:style w:type="paragraph" w:customStyle="1" w:styleId="49">
    <w:name w:val="Other|1"/>
    <w:basedOn w:val="1"/>
    <w:qFormat/>
    <w:uiPriority w:val="0"/>
    <w:pPr>
      <w:widowControl w:val="0"/>
      <w:shd w:val="clear" w:color="auto" w:fill="auto"/>
      <w:spacing w:line="422" w:lineRule="auto"/>
      <w:ind w:firstLine="400"/>
    </w:pPr>
    <w:rPr>
      <w:rFonts w:ascii="宋体" w:hAnsi="宋体" w:eastAsia="宋体" w:cs="宋体"/>
      <w:sz w:val="20"/>
      <w:szCs w:val="20"/>
      <w:u w:val="none"/>
      <w:shd w:val="clear" w:color="auto" w:fill="auto"/>
      <w:lang w:val="zh-TW" w:eastAsia="zh-TW" w:bidi="zh-TW"/>
    </w:rPr>
  </w:style>
  <w:style w:type="character" w:customStyle="1" w:styleId="50">
    <w:name w:val="font31"/>
    <w:basedOn w:val="23"/>
    <w:qFormat/>
    <w:uiPriority w:val="0"/>
    <w:rPr>
      <w:rFonts w:hint="default" w:ascii="Calibri" w:hAnsi="Calibri" w:cs="Calibri"/>
      <w:color w:val="000000"/>
      <w:sz w:val="20"/>
      <w:szCs w:val="20"/>
      <w:u w:val="none"/>
    </w:rPr>
  </w:style>
  <w:style w:type="character" w:customStyle="1" w:styleId="51">
    <w:name w:val="font21"/>
    <w:basedOn w:val="23"/>
    <w:qFormat/>
    <w:uiPriority w:val="0"/>
    <w:rPr>
      <w:rFonts w:hint="eastAsia" w:ascii="宋体" w:hAnsi="宋体" w:eastAsia="宋体" w:cs="宋体"/>
      <w:color w:val="000000"/>
      <w:sz w:val="20"/>
      <w:szCs w:val="20"/>
      <w:u w:val="none"/>
    </w:rPr>
  </w:style>
  <w:style w:type="character" w:customStyle="1" w:styleId="52">
    <w:name w:val="font11"/>
    <w:basedOn w:val="23"/>
    <w:qFormat/>
    <w:uiPriority w:val="0"/>
    <w:rPr>
      <w:rFonts w:hint="eastAsia" w:ascii="宋体" w:hAnsi="宋体" w:eastAsia="宋体" w:cs="宋体"/>
      <w:color w:val="000000"/>
      <w:sz w:val="20"/>
      <w:szCs w:val="20"/>
      <w:u w:val="none"/>
    </w:rPr>
  </w:style>
  <w:style w:type="character" w:customStyle="1" w:styleId="53">
    <w:name w:val="font41"/>
    <w:basedOn w:val="23"/>
    <w:qFormat/>
    <w:uiPriority w:val="0"/>
    <w:rPr>
      <w:rFonts w:hint="default" w:ascii="仿宋_GB2312" w:eastAsia="仿宋_GB2312" w:cs="仿宋_GB2312"/>
      <w:color w:val="000000"/>
      <w:sz w:val="20"/>
      <w:szCs w:val="20"/>
      <w:u w:val="none"/>
    </w:rPr>
  </w:style>
  <w:style w:type="paragraph" w:customStyle="1" w:styleId="54">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1986</Words>
  <Characters>2110</Characters>
  <Lines>0</Lines>
  <Paragraphs>0</Paragraphs>
  <TotalTime>7</TotalTime>
  <ScaleCrop>false</ScaleCrop>
  <LinksUpToDate>false</LinksUpToDate>
  <CharactersWithSpaces>2170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2020-03-27T08:34:00Z</dcterms:created>
  <dc:creator>小小驼铃</dc:creator>
  <cp:lastModifiedBy>Smile</cp:lastModifiedBy>
  <cp:lastPrinted>2025-03-10T01:39:00Z</cp:lastPrinted>
  <dcterms:modified xsi:type="dcterms:W3CDTF">2025-03-19T09:00:32Z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E8999D0E04C44CD894310DBEA1D356C5_13</vt:lpwstr>
  </property>
  <property fmtid="{D5CDD505-2E9C-101B-9397-08002B2CF9AE}" pid="4" name="KSOTemplateDocerSaveRecord">
    <vt:lpwstr>eyJoZGlkIjoiN2JhYTA5ZDVjMzdkZGYyZGViNzFkNDkyYTFjYjdjZjMiLCJ1c2VySWQiOiI0MDIwNzE2ODUifQ==</vt:lpwstr>
  </property>
</Properties>
</file>