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45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2268"/>
        <w:gridCol w:w="1134"/>
        <w:gridCol w:w="1276"/>
        <w:gridCol w:w="708"/>
        <w:gridCol w:w="3431"/>
        <w:gridCol w:w="1814"/>
        <w:gridCol w:w="851"/>
        <w:gridCol w:w="1417"/>
      </w:tblGrid>
      <w:tr w:rsidR="00C42C29">
        <w:trPr>
          <w:trHeight w:val="1095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2C29" w:rsidRDefault="00C42C29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kern w:val="0"/>
                <w:sz w:val="36"/>
                <w:szCs w:val="20"/>
              </w:rPr>
            </w:pPr>
          </w:p>
          <w:p w:rsidR="00C42C29" w:rsidRDefault="003D5FE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90"/>
                <w:kern w:val="0"/>
                <w:sz w:val="36"/>
                <w:szCs w:val="20"/>
              </w:rPr>
              <w:t>2019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kern w:val="0"/>
                <w:sz w:val="36"/>
                <w:szCs w:val="20"/>
              </w:rPr>
              <w:t>年龙岩市事业单位引进生岗位需求表</w:t>
            </w:r>
          </w:p>
        </w:tc>
      </w:tr>
      <w:tr w:rsidR="00C42C29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学历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br/>
              <w:t>层次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需求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岗位职责</w:t>
            </w: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br/>
              <w:t>描述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联系电话</w:t>
            </w:r>
          </w:p>
        </w:tc>
      </w:tr>
      <w:tr w:rsidR="00C42C29">
        <w:trPr>
          <w:trHeight w:val="17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D27EC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27EC4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古田干部学院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党史党建教研部教师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24F82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C21DFF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中共党史、马克思主义中国化研究、国外马克思主义研究、中国近现代史基本问题研究、中国史、党的建设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硕士研究生及以上(其中博士1人)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2.“985”“211”高校博士毕业生或“985”高校硕士毕业生；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3.本岗位可放宽至中央党校党建专业博士毕业生。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教学、教研岗位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谢斌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0597-3089017</w:t>
            </w:r>
          </w:p>
        </w:tc>
      </w:tr>
      <w:tr w:rsidR="00C42C29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D27EC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27EC4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古田干部学院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经济学教研部教师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区域经济学、政治经济学、产业经济学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硕士研究生及以上(其中博士1人)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2.“985”“211”高校博士毕业生或“985”高校硕士毕业生。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教学、教研岗位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谢斌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0597-3089017</w:t>
            </w:r>
          </w:p>
        </w:tc>
      </w:tr>
      <w:tr w:rsidR="00C42C29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D27EC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27EC4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古田干部学院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哲学法学教研部教师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法学理论、宪法与行政法学、法律史、民商法学、经济法学、诉讼法学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硕士研究生及以上(其中博士1人)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2.“985”“211”高校博士毕业生或“985”高校硕士毕业生。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教学、教研岗位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谢斌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0597-3089017</w:t>
            </w:r>
          </w:p>
        </w:tc>
      </w:tr>
      <w:tr w:rsidR="00C42C29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D27EC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27EC4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古田干部学院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哲学法学教研部教师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马克思主义、马克思主义哲学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2.“985”“211”高校博士毕业生或“985”高校硕士毕业生。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教学、教研岗位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谢斌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0597-3089017</w:t>
            </w:r>
          </w:p>
        </w:tc>
      </w:tr>
      <w:tr w:rsidR="00C42C29">
        <w:trPr>
          <w:trHeight w:val="11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D27EC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27EC4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古田干部学院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管理学教研部教师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2.“985”“211”高校博士毕业生或“985”高校硕士毕业生。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教学、教研岗位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谢斌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0597-3089017</w:t>
            </w:r>
          </w:p>
        </w:tc>
      </w:tr>
      <w:tr w:rsidR="00C42C2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D27EC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27EC4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古田干部学院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科社科文教研部教师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科学社会主义与国际共产主义运动、政治学理论、马克思主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lastRenderedPageBreak/>
              <w:t>义、社会学类、历史学类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lastRenderedPageBreak/>
              <w:t>“双一流”建设高校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lastRenderedPageBreak/>
              <w:t>2.“985”“211”高校博士毕业生或“985”高校硕士毕业生。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lastRenderedPageBreak/>
              <w:t>教学、教研岗位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谢斌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0597-3089017</w:t>
            </w:r>
          </w:p>
        </w:tc>
      </w:tr>
      <w:tr w:rsidR="00C42C29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D27EC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D27EC4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古田干部学院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统战理论教研部教师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统战学、人类学、社会学、历史学、宗教学、民族学、民俗学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2.“985”“211”高校博士毕业生或“985”高校硕士毕业生。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教学、教研岗位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谢斌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0597-3089017</w:t>
            </w:r>
          </w:p>
        </w:tc>
      </w:tr>
      <w:tr w:rsidR="00C42C29">
        <w:trPr>
          <w:trHeight w:val="16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龙岩市产品质量检验所/国家空气污染治理设备产品质量监督检验中心(福建)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空气污染治理设备电气性能检验岗位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机械电子工程、测试计量技术及仪器、电机与电器、检测技术与自动化装置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从事空气污染治理设备产品质量检验工作（室内空气净化器电器安全性能检验；电除尘器高、低压电源电气性能检验），相关检验检测方法研究、检验设备研发工作，以及相关标准制修订工作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黄群芳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0597-3292319</w:t>
            </w:r>
          </w:p>
        </w:tc>
      </w:tr>
      <w:tr w:rsidR="00C42C29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福建省特种设备检验研究院龙岩分院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检验及科研人员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专用车性能检测及试验技术研究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曾先生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0597-2260376</w:t>
            </w:r>
          </w:p>
        </w:tc>
      </w:tr>
      <w:tr w:rsidR="00C42C29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龙岩市城市规划研究中心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交通设计岗位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交通规划、交通研究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郑蓉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0597-3308595</w:t>
            </w:r>
          </w:p>
        </w:tc>
      </w:tr>
      <w:tr w:rsidR="00C42C2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龙岩市城市规划研究中心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信息化建设、基础数据、工程测绘资料数字化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郑蓉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0597-3308595</w:t>
            </w:r>
          </w:p>
        </w:tc>
      </w:tr>
      <w:tr w:rsidR="00C42C2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龙岩市公共就业和人才服务中心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网络信息安全岗位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信息安全、网络与信息安全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网络、信息安全方面的维护、规划和金保工程规划建设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邱勇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C29" w:rsidRDefault="003D5FEA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0597-3293312</w:t>
            </w:r>
          </w:p>
        </w:tc>
      </w:tr>
      <w:tr w:rsidR="004068DF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龙岩市建设工程造价管理站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安装工程岗位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w w:val="90"/>
                <w:kern w:val="0"/>
                <w:sz w:val="24"/>
                <w:szCs w:val="24"/>
              </w:rPr>
              <w:t>土木工程（安装工程方向）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1.本科须毕业于“211”高校，</w:t>
            </w:r>
            <w:r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  <w:t>且与研究生所学专业为相关专业；</w:t>
            </w: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br/>
              <w:t>2.“985”“211”高校博士毕业生或“985”高校硕士毕业生。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建筑附属设备、照明、给排水、采暖、通风、消防及建筑智能化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邹林青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0597-2386068</w:t>
            </w:r>
          </w:p>
        </w:tc>
      </w:tr>
      <w:tr w:rsidR="004068DF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龙岩市国土资源局基层土地管理所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熟悉土地规划、土地利用与管理的知识和技能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陈如芬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0597-2292803</w:t>
            </w:r>
          </w:p>
        </w:tc>
      </w:tr>
      <w:tr w:rsidR="004068DF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龙岩市高速公路建设管理处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工程建设管理岗位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土木工程（桥梁工程、隧道工程、岩土工程、市政工程方向）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从事工程建设管理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林果丰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0597-2294030</w:t>
            </w:r>
          </w:p>
        </w:tc>
      </w:tr>
      <w:tr w:rsidR="004068DF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龙岩冠豸山机场管委会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机场建设管理岗位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2A69AC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交通运输工程（机场规划与管理、民航运输管理等相关方向）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从事机场规划，民航运输、空中交通管理、航空港等管理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林果丰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0597-2294030</w:t>
            </w:r>
          </w:p>
        </w:tc>
      </w:tr>
      <w:tr w:rsidR="004068DF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龙岩市林业科学研究所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林业科学研究岗位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岗位艰苦，要求男性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从事科学研究及野外调查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连元彬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0597-2181859</w:t>
            </w:r>
          </w:p>
        </w:tc>
      </w:tr>
      <w:tr w:rsidR="004068DF">
        <w:trPr>
          <w:trHeight w:val="12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龙岩市河务管理中心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河务管理岗位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水文学及水资源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9B29B9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水文水资源及环境信息的采集及处理，治河工程、防洪设施与管理，水资源规划、水环境保护、水利工程规划与设计等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林瑛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0597-2205890</w:t>
            </w:r>
          </w:p>
        </w:tc>
      </w:tr>
      <w:tr w:rsidR="004068DF">
        <w:trPr>
          <w:trHeight w:val="10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闽西戏剧研究所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专技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戏剧、戏曲研究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“双一流”建设高校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 w:rsidRPr="005566E9"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戏曲创作与研究。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廖丽萍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0597-2224695</w:t>
            </w:r>
          </w:p>
        </w:tc>
      </w:tr>
      <w:tr w:rsidR="004068DF">
        <w:trPr>
          <w:trHeight w:val="720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left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DF" w:rsidRDefault="004068DF" w:rsidP="004068DF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42C29" w:rsidRDefault="00C42C29"/>
    <w:sectPr w:rsidR="00C42C29">
      <w:pgSz w:w="16838" w:h="11906" w:orient="landscape"/>
      <w:pgMar w:top="850" w:right="567" w:bottom="850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1E" w:rsidRDefault="0026331E">
      <w:r>
        <w:separator/>
      </w:r>
    </w:p>
  </w:endnote>
  <w:endnote w:type="continuationSeparator" w:id="0">
    <w:p w:rsidR="0026331E" w:rsidRDefault="0026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1E" w:rsidRDefault="0026331E">
      <w:r>
        <w:separator/>
      </w:r>
    </w:p>
  </w:footnote>
  <w:footnote w:type="continuationSeparator" w:id="0">
    <w:p w:rsidR="0026331E" w:rsidRDefault="0026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2D"/>
    <w:rsid w:val="00033CBA"/>
    <w:rsid w:val="00060AB8"/>
    <w:rsid w:val="00072604"/>
    <w:rsid w:val="00076CCC"/>
    <w:rsid w:val="00093230"/>
    <w:rsid w:val="000B286A"/>
    <w:rsid w:val="000C09FE"/>
    <w:rsid w:val="000C1382"/>
    <w:rsid w:val="000E629D"/>
    <w:rsid w:val="001274A9"/>
    <w:rsid w:val="00130D5E"/>
    <w:rsid w:val="001456C9"/>
    <w:rsid w:val="00185C98"/>
    <w:rsid w:val="00196F5C"/>
    <w:rsid w:val="001A7198"/>
    <w:rsid w:val="001D4CE1"/>
    <w:rsid w:val="001E00A0"/>
    <w:rsid w:val="0026331E"/>
    <w:rsid w:val="00297E80"/>
    <w:rsid w:val="002A69AC"/>
    <w:rsid w:val="002B40C7"/>
    <w:rsid w:val="002D6CC4"/>
    <w:rsid w:val="002E56E0"/>
    <w:rsid w:val="002F17C5"/>
    <w:rsid w:val="003165DE"/>
    <w:rsid w:val="00324F82"/>
    <w:rsid w:val="003938EE"/>
    <w:rsid w:val="003D5FEA"/>
    <w:rsid w:val="004068DF"/>
    <w:rsid w:val="004A1553"/>
    <w:rsid w:val="004C59A3"/>
    <w:rsid w:val="0051095B"/>
    <w:rsid w:val="00510C02"/>
    <w:rsid w:val="00553085"/>
    <w:rsid w:val="005566E9"/>
    <w:rsid w:val="005F53F1"/>
    <w:rsid w:val="00635B3A"/>
    <w:rsid w:val="0067193A"/>
    <w:rsid w:val="00676816"/>
    <w:rsid w:val="006F1A5E"/>
    <w:rsid w:val="00713C42"/>
    <w:rsid w:val="007373DC"/>
    <w:rsid w:val="00756407"/>
    <w:rsid w:val="00761E67"/>
    <w:rsid w:val="00776520"/>
    <w:rsid w:val="007A0022"/>
    <w:rsid w:val="007E060C"/>
    <w:rsid w:val="007E6A25"/>
    <w:rsid w:val="0081113D"/>
    <w:rsid w:val="00822547"/>
    <w:rsid w:val="00833D15"/>
    <w:rsid w:val="008575D9"/>
    <w:rsid w:val="009B29B9"/>
    <w:rsid w:val="009B363A"/>
    <w:rsid w:val="009D0453"/>
    <w:rsid w:val="00A01020"/>
    <w:rsid w:val="00A20CF0"/>
    <w:rsid w:val="00A508E4"/>
    <w:rsid w:val="00A55025"/>
    <w:rsid w:val="00A8630F"/>
    <w:rsid w:val="00AD2C71"/>
    <w:rsid w:val="00BA2FB0"/>
    <w:rsid w:val="00BD7800"/>
    <w:rsid w:val="00BE490E"/>
    <w:rsid w:val="00BE723E"/>
    <w:rsid w:val="00C21DFF"/>
    <w:rsid w:val="00C349BB"/>
    <w:rsid w:val="00C42C29"/>
    <w:rsid w:val="00C62D93"/>
    <w:rsid w:val="00C6411C"/>
    <w:rsid w:val="00C840B1"/>
    <w:rsid w:val="00CB2D2D"/>
    <w:rsid w:val="00D176D7"/>
    <w:rsid w:val="00D20F52"/>
    <w:rsid w:val="00D27EC4"/>
    <w:rsid w:val="00D35DA9"/>
    <w:rsid w:val="00D649FA"/>
    <w:rsid w:val="00DA7099"/>
    <w:rsid w:val="00DB4ECD"/>
    <w:rsid w:val="00E6203C"/>
    <w:rsid w:val="00EA6EA3"/>
    <w:rsid w:val="00F3132D"/>
    <w:rsid w:val="00FA0AFA"/>
    <w:rsid w:val="00FB6328"/>
    <w:rsid w:val="4F7075D2"/>
    <w:rsid w:val="6CA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7918D6-B9E3-4174-B9A8-3D085336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semiHidden/>
    <w:unhideWhenUsed/>
    <w:rPr>
      <w:b/>
      <w:bCs/>
    </w:rPr>
  </w:style>
  <w:style w:type="paragraph" w:styleId="a4">
    <w:name w:val="annotation text"/>
    <w:basedOn w:val="a"/>
    <w:link w:val="a6"/>
    <w:semiHidden/>
    <w:unhideWhenUsed/>
    <w:qFormat/>
    <w:pPr>
      <w:jc w:val="left"/>
    </w:p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Balloon Text"/>
    <w:basedOn w:val="a"/>
    <w:link w:val="ab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character" w:styleId="af1">
    <w:name w:val="Strong"/>
    <w:basedOn w:val="a0"/>
    <w:qFormat/>
    <w:rPr>
      <w:b/>
      <w:sz w:val="24"/>
    </w:rPr>
  </w:style>
  <w:style w:type="character" w:styleId="af2">
    <w:name w:val="Hyperlink"/>
    <w:basedOn w:val="a0"/>
    <w:rPr>
      <w:color w:val="1B242F"/>
      <w:sz w:val="24"/>
      <w:u w:val="none"/>
    </w:rPr>
  </w:style>
  <w:style w:type="character" w:styleId="af3">
    <w:name w:val="annotation reference"/>
    <w:basedOn w:val="a0"/>
    <w:semiHidden/>
    <w:unhideWhenUsed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11">
    <w:name w:val="列出段落11"/>
    <w:basedOn w:val="a"/>
    <w:pPr>
      <w:ind w:firstLineChars="200" w:firstLine="420"/>
    </w:pPr>
  </w:style>
  <w:style w:type="character" w:customStyle="1" w:styleId="af">
    <w:name w:val="页眉 字符"/>
    <w:basedOn w:val="a0"/>
    <w:link w:val="ae"/>
    <w:qFormat/>
    <w:rPr>
      <w:rFonts w:ascii="Calibri" w:hAnsi="Calibri"/>
      <w:kern w:val="2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9">
    <w:name w:val="日期 字符"/>
    <w:basedOn w:val="a0"/>
    <w:link w:val="a8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框文本 字符"/>
    <w:basedOn w:val="a0"/>
    <w:link w:val="aa"/>
    <w:semiHidden/>
    <w:qFormat/>
    <w:rPr>
      <w:rFonts w:ascii="Calibri" w:hAnsi="Calibri"/>
      <w:kern w:val="2"/>
      <w:sz w:val="18"/>
      <w:szCs w:val="18"/>
    </w:rPr>
  </w:style>
  <w:style w:type="character" w:customStyle="1" w:styleId="a6">
    <w:name w:val="批注文字 字符"/>
    <w:basedOn w:val="a0"/>
    <w:link w:val="a4"/>
    <w:semiHidden/>
    <w:rPr>
      <w:rFonts w:ascii="Calibri" w:hAnsi="Calibri"/>
      <w:kern w:val="2"/>
      <w:sz w:val="21"/>
      <w:szCs w:val="22"/>
    </w:rPr>
  </w:style>
  <w:style w:type="character" w:customStyle="1" w:styleId="a5">
    <w:name w:val="批注主题 字符"/>
    <w:basedOn w:val="a6"/>
    <w:link w:val="a3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41848-D21C-4BBE-A718-3A68AE6A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385</Words>
  <Characters>2200</Characters>
  <Application>Microsoft Office Word</Application>
  <DocSecurity>0</DocSecurity>
  <Lines>18</Lines>
  <Paragraphs>5</Paragraphs>
  <ScaleCrop>false</ScaleCrop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creator>wdf</dc:creator>
  <cp:lastModifiedBy>LiangBin</cp:lastModifiedBy>
  <cp:revision>10</cp:revision>
  <cp:lastPrinted>2018-09-06T13:47:00Z</cp:lastPrinted>
  <dcterms:created xsi:type="dcterms:W3CDTF">2018-09-12T07:17:00Z</dcterms:created>
  <dcterms:modified xsi:type="dcterms:W3CDTF">2018-09-13T23:59:00Z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