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/>
        <w:rPr>
          <w:rFonts w:ascii="黑体" w:eastAsia="黑体" w:cs="黑体" w:hint="eastAsia"/>
          <w:color w:val="auto"/>
          <w:sz w:val="32"/>
          <w:szCs w:val="32"/>
        </w:rPr>
      </w:pPr>
      <w:r>
        <w:rPr>
          <w:rFonts w:ascii="黑体" w:eastAsia="黑体" w:cs="黑体" w:hint="eastAsia"/>
          <w:color w:val="auto"/>
          <w:sz w:val="32"/>
          <w:szCs w:val="32"/>
        </w:rPr>
        <w:t>附件</w:t>
      </w:r>
      <w:r>
        <w:rPr>
          <w:rFonts w:ascii="Times New Roman" w:eastAsia="黑体" w:cs="Times New Roman" w:hAnsi="Times New Roman"/>
          <w:color w:val="auto"/>
          <w:sz w:val="32"/>
          <w:szCs w:val="32"/>
        </w:rPr>
        <w:t>1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/>
        <w:jc w:val="center"/>
        <w:rPr>
          <w:rFonts w:hint="eastAsia"/>
          <w:color w:val="auto"/>
          <w:sz w:val="32"/>
          <w:szCs w:val="32"/>
        </w:rPr>
      </w:pPr>
      <w:r>
        <w:rPr>
          <w:rFonts w:ascii="方正小标宋简体" w:eastAsia="方正小标宋简体" w:cs="宋体" w:hint="eastAsia"/>
          <w:color w:val="auto"/>
          <w:kern w:val="0"/>
          <w:sz w:val="40"/>
          <w:szCs w:val="40"/>
        </w:rPr>
        <w:t>福建连城国有投资集团有限公司公开招聘企业专业人才职位表</w:t>
      </w:r>
    </w:p>
    <w:tbl>
      <w:tblPr>
        <w:jc w:val="center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17"/>
        <w:gridCol w:w="2272"/>
        <w:gridCol w:w="921"/>
        <w:gridCol w:w="9907"/>
      </w:tblGrid>
      <w:tr>
        <w:trPr>
          <w:trHeight w:val="11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/>
              <w:jc w:val="center"/>
              <w:rPr>
                <w:rFonts w:ascii="黑体" w:eastAsia="黑体" w:cs="宋体"/>
                <w:color w:val="auto"/>
                <w:kern w:val="0"/>
                <w:sz w:val="32"/>
                <w:szCs w:val="32"/>
                <w:highlight w:val="auto"/>
              </w:rPr>
            </w:pPr>
            <w:r>
              <w:rPr>
                <w:rFonts w:ascii="黑体" w:eastAsia="黑体" w:cs="宋体" w:hint="eastAsia"/>
                <w:color w:val="auto"/>
                <w:kern w:val="0"/>
                <w:sz w:val="32"/>
                <w:szCs w:val="32"/>
                <w:highlight w:val="auto"/>
              </w:rPr>
              <w:t>序号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/>
              <w:jc w:val="center"/>
              <w:rPr>
                <w:rFonts w:ascii="黑体" w:eastAsia="黑体" w:cs="宋体"/>
                <w:color w:val="auto"/>
                <w:kern w:val="0"/>
                <w:sz w:val="32"/>
                <w:szCs w:val="32"/>
                <w:highlight w:val="auto"/>
              </w:rPr>
            </w:pPr>
            <w:r>
              <w:rPr>
                <w:rFonts w:ascii="黑体" w:eastAsia="黑体" w:cs="宋体" w:hint="eastAsia"/>
                <w:color w:val="auto"/>
                <w:kern w:val="0"/>
                <w:sz w:val="32"/>
                <w:szCs w:val="32"/>
                <w:highlight w:val="auto"/>
              </w:rPr>
              <w:t>岗位</w:t>
            </w:r>
            <w:r>
              <w:rPr>
                <w:rFonts w:ascii="黑体" w:eastAsia="黑体" w:cs="宋体"/>
                <w:color w:val="auto"/>
                <w:kern w:val="0"/>
                <w:sz w:val="32"/>
                <w:szCs w:val="32"/>
                <w:highlight w:val="auto"/>
              </w:rPr>
              <w:t>名称及代码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/>
              <w:jc w:val="center"/>
              <w:rPr>
                <w:rFonts w:ascii="黑体" w:eastAsia="黑体" w:cs="宋体"/>
                <w:color w:val="auto"/>
                <w:kern w:val="0"/>
                <w:sz w:val="32"/>
                <w:szCs w:val="32"/>
                <w:highlight w:val="auto"/>
              </w:rPr>
            </w:pPr>
            <w:r>
              <w:rPr>
                <w:rFonts w:ascii="黑体" w:eastAsia="黑体" w:cs="宋体" w:hint="eastAsia"/>
                <w:color w:val="auto"/>
                <w:kern w:val="0"/>
                <w:sz w:val="32"/>
                <w:szCs w:val="32"/>
                <w:highlight w:val="auto"/>
              </w:rPr>
              <w:t>招聘人数</w:t>
            </w:r>
          </w:p>
        </w:tc>
        <w:tc>
          <w:tcPr>
            <w:tcW w:w="9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/>
              <w:jc w:val="center"/>
              <w:rPr>
                <w:rFonts w:ascii="黑体" w:eastAsia="黑体" w:cs="宋体"/>
                <w:color w:val="auto"/>
                <w:kern w:val="0"/>
                <w:sz w:val="32"/>
                <w:szCs w:val="32"/>
                <w:highlight w:val="auto"/>
              </w:rPr>
            </w:pPr>
            <w:r>
              <w:rPr>
                <w:rFonts w:ascii="黑体" w:eastAsia="黑体" w:cs="宋体" w:hint="eastAsia"/>
                <w:color w:val="auto"/>
                <w:kern w:val="0"/>
                <w:sz w:val="32"/>
                <w:szCs w:val="32"/>
                <w:highlight w:val="auto"/>
              </w:rPr>
              <w:t>条件要求</w:t>
            </w:r>
          </w:p>
        </w:tc>
      </w:tr>
      <w:tr>
        <w:trPr>
          <w:trHeight w:val="51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/>
              <w:jc w:val="center"/>
              <w:rPr>
                <w:rFonts w:ascii="仿宋_GB2312" w:eastAsia="仿宋_GB2312" w:cs="宋体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Times New Roman" w:eastAsia="仿宋_GB2312" w:cs="宋体" w:hAnsi="Times New Roman" w:hint="eastAsia"/>
                <w:color w:val="auto"/>
                <w:kern w:val="0"/>
                <w:sz w:val="28"/>
                <w:szCs w:val="28"/>
                <w:highlight w:val="auto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/>
              <w:jc w:val="center"/>
              <w:textAlignment w:val="center"/>
              <w:rPr>
                <w:rFonts w:ascii="仿宋_GB2312" w:eastAsia="仿宋_GB2312" w:cs="仿宋_GB2312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auto"/>
                <w:kern w:val="0"/>
                <w:sz w:val="28"/>
                <w:szCs w:val="28"/>
                <w:highlight w:val="auto"/>
              </w:rPr>
              <w:t>工商管理类人员等同二级以下企业</w:t>
            </w:r>
            <w:r>
              <w:rPr>
                <w:rFonts w:ascii="仿宋_GB2312" w:eastAsia="仿宋_GB2312" w:cs="仿宋_GB2312" w:hint="eastAsia"/>
                <w:color w:val="auto"/>
                <w:kern w:val="0"/>
                <w:sz w:val="28"/>
                <w:szCs w:val="28"/>
                <w:lang w:eastAsia="zh-CN"/>
                <w:highlight w:val="auto"/>
              </w:rPr>
              <w:t>副</w:t>
            </w:r>
            <w:r>
              <w:rPr>
                <w:rFonts w:ascii="仿宋_GB2312" w:eastAsia="仿宋_GB2312" w:cs="仿宋_GB2312" w:hint="eastAsia"/>
                <w:color w:val="auto"/>
                <w:kern w:val="0"/>
                <w:sz w:val="28"/>
                <w:szCs w:val="28"/>
                <w:highlight w:val="auto"/>
              </w:rPr>
              <w:t>经理岗位职务</w:t>
            </w:r>
            <w:r>
              <w:rPr>
                <w:rFonts w:ascii="仿宋_GB2312" w:eastAsia="仿宋_GB2312" w:cs="仿宋_GB2312" w:hint="eastAsia"/>
                <w:color w:val="auto"/>
                <w:kern w:val="0"/>
                <w:sz w:val="28"/>
                <w:szCs w:val="28"/>
                <w:lang w:eastAsia="zh-CN"/>
                <w:highlight w:val="auto"/>
              </w:rPr>
              <w:t>；</w:t>
            </w:r>
            <w:r>
              <w:rPr>
                <w:rFonts w:ascii="仿宋_GB2312" w:eastAsia="仿宋_GB2312" w:cs="仿宋_GB2312" w:hint="eastAsia"/>
                <w:color w:val="auto"/>
                <w:kern w:val="0"/>
                <w:sz w:val="28"/>
                <w:szCs w:val="28"/>
                <w:highlight w:val="auto"/>
              </w:rPr>
              <w:t>财务管理类人员等同部门</w:t>
            </w:r>
            <w:r>
              <w:rPr>
                <w:rFonts w:ascii="仿宋_GB2312" w:eastAsia="仿宋_GB2312" w:cs="仿宋_GB2312" w:hint="eastAsia"/>
                <w:color w:val="auto"/>
                <w:kern w:val="0"/>
                <w:sz w:val="28"/>
                <w:szCs w:val="28"/>
                <w:lang w:eastAsia="zh-CN"/>
                <w:highlight w:val="auto"/>
              </w:rPr>
              <w:t>副</w:t>
            </w:r>
            <w:r>
              <w:rPr>
                <w:rFonts w:ascii="仿宋_GB2312" w:eastAsia="仿宋_GB2312" w:cs="仿宋_GB2312" w:hint="eastAsia"/>
                <w:color w:val="auto"/>
                <w:kern w:val="0"/>
                <w:sz w:val="28"/>
                <w:szCs w:val="28"/>
                <w:highlight w:val="auto"/>
              </w:rPr>
              <w:t>经理岗位职务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/>
              <w:jc w:val="center"/>
              <w:textAlignment w:val="center"/>
              <w:rPr>
                <w:rFonts w:ascii="仿宋_GB2312" w:eastAsia="仿宋_GB2312" w:cs="宋体" w:hint="eastAsia"/>
                <w:color w:val="auto"/>
                <w:kern w:val="0"/>
                <w:sz w:val="28"/>
                <w:szCs w:val="28"/>
                <w:lang w:eastAsia="zh-CN"/>
                <w:highlight w:val="auto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8"/>
                <w:szCs w:val="28"/>
                <w:highlight w:val="auto"/>
              </w:rPr>
              <w:t>（101）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/>
              <w:jc w:val="center"/>
              <w:rPr>
                <w:rFonts w:ascii="仿宋_GB2312" w:eastAsia="仿宋_GB2312" w:cs="宋体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Times New Roman" w:eastAsia="仿宋_GB2312" w:cs="宋体" w:hAnsi="Times New Roman"/>
                <w:color w:val="auto"/>
                <w:kern w:val="0"/>
                <w:sz w:val="28"/>
                <w:szCs w:val="28"/>
                <w:highlight w:val="auto"/>
              </w:rPr>
              <w:t>2</w:t>
            </w:r>
          </w:p>
        </w:tc>
        <w:tc>
          <w:tcPr>
            <w:tcW w:w="9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/>
              <w:jc w:val="both"/>
              <w:rPr>
                <w:rFonts w:ascii="仿宋_GB2312" w:eastAsia="仿宋_GB2312" w:cs="宋体" w:hint="eastAsia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Times New Roman" w:eastAsia="仿宋_GB2312" w:cs="宋体" w:hAnsi="Times New Roman" w:hint="eastAsia"/>
                <w:color w:val="auto"/>
                <w:kern w:val="0"/>
                <w:sz w:val="28"/>
                <w:szCs w:val="28"/>
                <w:highlight w:val="auto"/>
              </w:rPr>
              <w:t>1</w:t>
            </w:r>
            <w:r>
              <w:rPr>
                <w:rFonts w:ascii="仿宋_GB2312" w:eastAsia="仿宋_GB2312" w:cs="宋体" w:hint="eastAsia"/>
                <w:color w:val="auto"/>
                <w:kern w:val="0"/>
                <w:sz w:val="28"/>
                <w:szCs w:val="28"/>
                <w:highlight w:val="auto"/>
              </w:rPr>
              <w:t>.</w:t>
            </w:r>
            <w:r>
              <w:rPr>
                <w:rFonts w:ascii="仿宋_GB2312" w:eastAsia="仿宋_GB2312" w:cs="仿宋_GB2312" w:hint="eastAsia"/>
                <w:color w:val="auto"/>
                <w:kern w:val="0"/>
                <w:sz w:val="28"/>
                <w:szCs w:val="28"/>
                <w:highlight w:val="auto"/>
              </w:rPr>
              <w:t>工商管理类</w:t>
            </w:r>
            <w:r>
              <w:rPr>
                <w:rFonts w:ascii="仿宋_GB2312" w:eastAsia="仿宋_GB2312" w:cs="仿宋_GB2312" w:hint="eastAsia"/>
                <w:color w:val="auto"/>
                <w:kern w:val="0"/>
                <w:sz w:val="28"/>
                <w:szCs w:val="28"/>
                <w:lang w:eastAsia="zh-CN"/>
                <w:highlight w:val="auto"/>
              </w:rPr>
              <w:t>、</w:t>
            </w:r>
            <w:r>
              <w:rPr>
                <w:rFonts w:ascii="Times New Roman" w:eastAsia="仿宋_GB2312" w:hAnsi="Times New Roman" w:hint="eastAsia"/>
                <w:color w:val="auto"/>
                <w:kern w:val="0"/>
                <w:sz w:val="28"/>
                <w:szCs w:val="28"/>
                <w:highlight w:val="auto"/>
              </w:rPr>
              <w:t>经济贸易类、财政金融类、会计与审计类</w:t>
            </w:r>
            <w:r>
              <w:rPr>
                <w:rFonts w:ascii="Times New Roman" w:eastAsia="仿宋_GB2312" w:hAnsi="Times New Roman"/>
                <w:color w:val="auto"/>
                <w:kern w:val="0"/>
                <w:sz w:val="28"/>
                <w:szCs w:val="28"/>
                <w:highlight w:val="auto"/>
              </w:rPr>
              <w:t>专业</w:t>
            </w:r>
            <w:r>
              <w:rPr>
                <w:rFonts w:ascii="Times New Roman" w:eastAsia="仿宋_GB2312" w:hAnsi="Times New Roman" w:hint="eastAsia"/>
                <w:color w:val="auto"/>
                <w:kern w:val="0"/>
                <w:sz w:val="28"/>
                <w:szCs w:val="28"/>
                <w:highlight w:val="auto"/>
              </w:rPr>
              <w:t>，</w:t>
            </w:r>
            <w:r>
              <w:rPr>
                <w:rFonts w:ascii="仿宋_GB2312" w:eastAsia="仿宋_GB2312" w:cs="宋体" w:hint="eastAsia"/>
                <w:color w:val="auto"/>
                <w:kern w:val="0"/>
                <w:sz w:val="28"/>
                <w:szCs w:val="28"/>
                <w:highlight w:val="auto"/>
              </w:rPr>
              <w:t>普通高校全日制硕士研究生及以上</w:t>
            </w:r>
            <w:r>
              <w:rPr>
                <w:rFonts w:ascii="仿宋_GB2312" w:eastAsia="仿宋_GB2312" w:cs="宋体" w:hint="eastAsia"/>
                <w:color w:val="auto"/>
                <w:kern w:val="0"/>
                <w:sz w:val="28"/>
                <w:szCs w:val="28"/>
                <w:lang w:eastAsia="zh-CN"/>
                <w:highlight w:val="auto"/>
              </w:rPr>
              <w:t>学历</w:t>
            </w:r>
            <w:r>
              <w:rPr>
                <w:rFonts w:ascii="仿宋_GB2312" w:eastAsia="仿宋_GB2312" w:cs="宋体" w:hint="eastAsia"/>
                <w:color w:val="auto"/>
                <w:kern w:val="0"/>
                <w:sz w:val="28"/>
                <w:szCs w:val="28"/>
                <w:highlight w:val="auto"/>
              </w:rPr>
              <w:t>毕业生，具有硕士</w:t>
            </w:r>
            <w:r>
              <w:rPr>
                <w:rFonts w:ascii="仿宋_GB2312" w:eastAsia="仿宋_GB2312" w:cs="宋体" w:hint="eastAsia"/>
                <w:color w:val="auto"/>
                <w:kern w:val="0"/>
                <w:sz w:val="28"/>
                <w:szCs w:val="28"/>
                <w:lang w:eastAsia="zh-CN"/>
                <w:highlight w:val="auto"/>
              </w:rPr>
              <w:t>及以上</w:t>
            </w:r>
            <w:r>
              <w:rPr>
                <w:rFonts w:ascii="仿宋_GB2312" w:eastAsia="仿宋_GB2312" w:cs="宋体" w:hint="eastAsia"/>
                <w:color w:val="auto"/>
                <w:kern w:val="0"/>
                <w:sz w:val="28"/>
                <w:szCs w:val="28"/>
                <w:highlight w:val="auto"/>
              </w:rPr>
              <w:t>学位；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/>
              <w:jc w:val="both"/>
              <w:rPr>
                <w:rFonts w:ascii="仿宋_GB2312" w:eastAsia="仿宋_GB2312" w:cs="宋体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Times New Roman" w:eastAsia="仿宋_GB2312" w:cs="宋体" w:hAnsi="Times New Roman" w:hint="eastAsia"/>
                <w:color w:val="auto"/>
                <w:kern w:val="0"/>
                <w:sz w:val="28"/>
                <w:szCs w:val="28"/>
                <w:highlight w:val="auto"/>
              </w:rPr>
              <w:t>2</w:t>
            </w:r>
            <w:r>
              <w:rPr>
                <w:rFonts w:ascii="仿宋_GB2312" w:eastAsia="仿宋_GB2312" w:cs="宋体" w:hint="eastAsia"/>
                <w:color w:val="auto"/>
                <w:kern w:val="0"/>
                <w:sz w:val="28"/>
                <w:szCs w:val="28"/>
                <w:highlight w:val="auto"/>
              </w:rPr>
              <w:t>.</w:t>
            </w:r>
            <w:r>
              <w:rPr>
                <w:rFonts w:ascii="仿宋_GB2312" w:eastAsia="仿宋_GB2312" w:cs="仿宋_GB2312" w:hint="eastAsia"/>
                <w:color w:val="auto"/>
                <w:kern w:val="0"/>
                <w:sz w:val="28"/>
                <w:szCs w:val="28"/>
                <w:highlight w:val="auto"/>
              </w:rPr>
              <w:t>工商管理类人员了解工商管理方面的政策法规，</w:t>
            </w:r>
            <w:r>
              <w:rPr>
                <w:rFonts w:ascii="Times New Roman" w:eastAsia="仿宋_GB2312" w:hAnsi="Times New Roman" w:hint="eastAsia"/>
                <w:color w:val="auto"/>
                <w:spacing w:val="15"/>
                <w:sz w:val="28"/>
                <w:szCs w:val="28"/>
                <w:shd w:val="clear" w:color="auto" w:fill="FFFFFF"/>
                <w:highlight w:val="auto"/>
              </w:rPr>
              <w:t>有较强的商务谈判组织和驾驭能力，</w:t>
            </w:r>
            <w:r>
              <w:rPr>
                <w:rFonts w:ascii="仿宋_GB2312" w:eastAsia="仿宋_GB2312" w:cs="仿宋_GB2312" w:hint="eastAsia"/>
                <w:color w:val="auto"/>
                <w:kern w:val="0"/>
                <w:sz w:val="28"/>
                <w:szCs w:val="28"/>
                <w:highlight w:val="auto"/>
              </w:rPr>
              <w:t>具有企业管理工作经验者</w:t>
            </w:r>
            <w:r>
              <w:rPr>
                <w:rFonts w:ascii="仿宋_GB2312" w:eastAsia="仿宋_GB2312" w:cs="仿宋_GB2312" w:hint="eastAsia"/>
                <w:color w:val="auto"/>
                <w:kern w:val="0"/>
                <w:sz w:val="28"/>
                <w:szCs w:val="28"/>
                <w:lang w:eastAsia="zh-CN"/>
                <w:highlight w:val="auto"/>
              </w:rPr>
              <w:t>或</w:t>
            </w:r>
            <w:r>
              <w:rPr>
                <w:rFonts w:ascii="Times New Roman" w:eastAsia="仿宋_GB2312" w:hAnsi="Times New Roman" w:hint="eastAsia"/>
                <w:color w:val="auto"/>
                <w:sz w:val="28"/>
                <w:szCs w:val="28"/>
                <w:highlight w:val="auto"/>
              </w:rPr>
              <w:t>财务工作经验者</w:t>
            </w:r>
            <w:r>
              <w:rPr>
                <w:rFonts w:ascii="仿宋_GB2312" w:eastAsia="仿宋_GB2312" w:cs="仿宋_GB2312" w:hint="eastAsia"/>
                <w:color w:val="auto"/>
                <w:kern w:val="0"/>
                <w:sz w:val="28"/>
                <w:szCs w:val="28"/>
                <w:highlight w:val="auto"/>
              </w:rPr>
              <w:t>优先。财务管理类人员</w:t>
            </w:r>
            <w:r>
              <w:rPr>
                <w:rFonts w:ascii="Times New Roman" w:eastAsia="仿宋_GB2312" w:hAnsi="Times New Roman" w:hint="eastAsia"/>
                <w:color w:val="auto"/>
                <w:sz w:val="28"/>
                <w:szCs w:val="28"/>
                <w:highlight w:val="auto"/>
              </w:rPr>
              <w:t>会计理论基础知识扎实，熟悉企业会计制度，熟悉国家财税制度和办税程序，熟练掌握财务软件，</w:t>
            </w:r>
            <w:r>
              <w:rPr>
                <w:rFonts w:ascii="Times New Roman" w:eastAsia="仿宋_GB2312" w:hAnsi="Times New Roman"/>
                <w:color w:val="auto"/>
                <w:sz w:val="28"/>
                <w:szCs w:val="28"/>
                <w:highlight w:val="auto"/>
              </w:rPr>
              <w:t>精通成本测算，财务核算</w:t>
            </w:r>
            <w:r>
              <w:rPr>
                <w:rFonts w:ascii="Times New Roman" w:eastAsia="仿宋_GB2312" w:hAnsi="Times New Roman" w:hint="eastAsia"/>
                <w:color w:val="auto"/>
                <w:sz w:val="28"/>
                <w:szCs w:val="28"/>
                <w:highlight w:val="auto"/>
              </w:rPr>
              <w:t>，具有金融、投资、担保等行业工作经验者优先。</w:t>
            </w:r>
          </w:p>
        </w:tc>
      </w:tr>
      <w:tr>
        <w:trPr>
          <w:trHeight w:val="336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/>
              <w:jc w:val="center"/>
              <w:rPr>
                <w:rFonts w:ascii="仿宋_GB2312" w:eastAsia="仿宋_GB2312" w:cs="宋体" w:hint="eastAsia"/>
                <w:color w:val="auto"/>
                <w:kern w:val="0"/>
                <w:sz w:val="28"/>
                <w:szCs w:val="28"/>
                <w:lang w:eastAsia="zh-CN"/>
                <w:highlight w:val="auto"/>
              </w:rPr>
            </w:pPr>
            <w:r>
              <w:rPr>
                <w:rFonts w:ascii="Times New Roman" w:eastAsia="仿宋_GB2312" w:cs="宋体" w:hAnsi="Times New Roman" w:hint="eastAsia"/>
                <w:color w:val="auto"/>
                <w:kern w:val="0"/>
                <w:sz w:val="28"/>
                <w:szCs w:val="28"/>
                <w:lang w:val="en-US" w:eastAsia="zh-CN"/>
                <w:highlight w:val="auto"/>
              </w:rPr>
              <w:t>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/>
              <w:jc w:val="center"/>
              <w:rPr>
                <w:rFonts w:ascii="仿宋_GB2312" w:eastAsia="仿宋_GB2312" w:cs="仿宋_GB2312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auto"/>
                <w:kern w:val="0"/>
                <w:sz w:val="28"/>
                <w:szCs w:val="28"/>
                <w:highlight w:val="auto"/>
              </w:rPr>
              <w:t>法律类人员等同部门</w:t>
            </w:r>
            <w:r>
              <w:rPr>
                <w:rFonts w:ascii="仿宋_GB2312" w:eastAsia="仿宋_GB2312" w:cs="仿宋_GB2312" w:hint="eastAsia"/>
                <w:color w:val="auto"/>
                <w:kern w:val="0"/>
                <w:sz w:val="28"/>
                <w:szCs w:val="28"/>
                <w:lang w:eastAsia="zh-CN"/>
                <w:highlight w:val="auto"/>
              </w:rPr>
              <w:t>副</w:t>
            </w:r>
            <w:r>
              <w:rPr>
                <w:rFonts w:ascii="仿宋_GB2312" w:eastAsia="仿宋_GB2312" w:cs="仿宋_GB2312" w:hint="eastAsia"/>
                <w:color w:val="auto"/>
                <w:kern w:val="0"/>
                <w:sz w:val="28"/>
                <w:szCs w:val="28"/>
                <w:highlight w:val="auto"/>
              </w:rPr>
              <w:t>经理岗位职务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/>
              <w:jc w:val="center"/>
              <w:rPr>
                <w:rFonts w:ascii="仿宋_GB2312" w:eastAsia="仿宋_GB2312" w:cs="仿宋_GB2312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8"/>
                <w:szCs w:val="28"/>
                <w:highlight w:val="auto"/>
              </w:rPr>
              <w:t>（102）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/>
              <w:jc w:val="center"/>
              <w:rPr>
                <w:rFonts w:ascii="仿宋_GB2312" w:eastAsia="仿宋_GB2312" w:cs="宋体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Times New Roman" w:eastAsia="仿宋_GB2312" w:cs="宋体" w:hAnsi="Times New Roman" w:hint="eastAsia"/>
                <w:color w:val="auto"/>
                <w:kern w:val="0"/>
                <w:sz w:val="28"/>
                <w:szCs w:val="28"/>
                <w:highlight w:val="auto"/>
              </w:rPr>
              <w:t>1</w:t>
            </w:r>
          </w:p>
        </w:tc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/>
              <w:rPr>
                <w:rFonts w:ascii="仿宋_GB2312" w:eastAsia="仿宋_GB2312" w:cs="宋体" w:hint="eastAsia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Times New Roman" w:eastAsia="仿宋_GB2312" w:cs="宋体" w:hAnsi="Times New Roman" w:hint="eastAsia"/>
                <w:color w:val="auto"/>
                <w:kern w:val="0"/>
                <w:sz w:val="28"/>
                <w:szCs w:val="28"/>
                <w:highlight w:val="auto"/>
              </w:rPr>
              <w:t>1</w:t>
            </w:r>
            <w:r>
              <w:rPr>
                <w:rFonts w:ascii="仿宋_GB2312" w:eastAsia="仿宋_GB2312" w:cs="宋体" w:hint="eastAsia"/>
                <w:color w:val="auto"/>
                <w:kern w:val="0"/>
                <w:sz w:val="28"/>
                <w:szCs w:val="28"/>
                <w:highlight w:val="auto"/>
              </w:rPr>
              <w:t>.</w:t>
            </w:r>
            <w:r>
              <w:rPr>
                <w:rFonts w:ascii="Times New Roman" w:eastAsia="仿宋_GB2312" w:cs="仿宋_GB2312" w:hAnsi="Times New Roman" w:hint="eastAsia"/>
                <w:sz w:val="28"/>
                <w:szCs w:val="28"/>
                <w:highlight w:val="auto"/>
              </w:rPr>
              <w:t>法学</w:t>
            </w:r>
            <w:r>
              <w:rPr>
                <w:rFonts w:ascii="Times New Roman" w:eastAsia="仿宋_GB2312" w:cs="仿宋_GB2312" w:hAnsi="Times New Roman" w:hint="eastAsia"/>
                <w:sz w:val="28"/>
                <w:szCs w:val="28"/>
                <w:lang w:eastAsia="zh-CN"/>
                <w:highlight w:val="auto"/>
              </w:rPr>
              <w:t>、法律、经济法学、经济法律事务、法律实务、金融与法律、经济法与经济实务、民商经济法学、民商法学、诉讼法学、知识产权</w:t>
            </w:r>
            <w:r>
              <w:rPr>
                <w:rFonts w:ascii="Times New Roman" w:eastAsia="仿宋_GB2312" w:cs="仿宋_GB2312" w:hAnsi="Times New Roman" w:hint="eastAsia"/>
                <w:color w:val="auto"/>
                <w:sz w:val="28"/>
                <w:szCs w:val="28"/>
                <w:highlight w:val="auto"/>
              </w:rPr>
              <w:t>专业，</w:t>
            </w:r>
            <w:r>
              <w:rPr>
                <w:rFonts w:ascii="仿宋_GB2312" w:eastAsia="仿宋_GB2312" w:cs="宋体" w:hint="eastAsia"/>
                <w:color w:val="auto"/>
                <w:kern w:val="0"/>
                <w:sz w:val="28"/>
                <w:szCs w:val="28"/>
                <w:highlight w:val="auto"/>
              </w:rPr>
              <w:t>普通高校全日制硕士研究生及以上</w:t>
            </w:r>
            <w:r>
              <w:rPr>
                <w:rFonts w:ascii="仿宋_GB2312" w:eastAsia="仿宋_GB2312" w:cs="宋体" w:hint="eastAsia"/>
                <w:color w:val="auto"/>
                <w:kern w:val="0"/>
                <w:sz w:val="28"/>
                <w:szCs w:val="28"/>
                <w:lang w:eastAsia="zh-CN"/>
                <w:highlight w:val="auto"/>
              </w:rPr>
              <w:t>学历</w:t>
            </w:r>
            <w:r>
              <w:rPr>
                <w:rFonts w:ascii="仿宋_GB2312" w:eastAsia="仿宋_GB2312" w:cs="宋体" w:hint="eastAsia"/>
                <w:color w:val="auto"/>
                <w:kern w:val="0"/>
                <w:sz w:val="28"/>
                <w:szCs w:val="28"/>
                <w:highlight w:val="auto"/>
              </w:rPr>
              <w:t>毕业生，具有硕士及以上学位；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/>
              <w:rPr>
                <w:rFonts w:ascii="仿宋_GB2312" w:eastAsia="仿宋_GB2312" w:cs="宋体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Times New Roman" w:eastAsia="仿宋_GB2312" w:cs="宋体" w:hAnsi="Times New Roman" w:hint="eastAsia"/>
                <w:color w:val="auto"/>
                <w:kern w:val="0"/>
                <w:sz w:val="28"/>
                <w:szCs w:val="28"/>
                <w:highlight w:val="auto"/>
              </w:rPr>
              <w:t>2</w:t>
            </w:r>
            <w:r>
              <w:rPr>
                <w:rFonts w:ascii="仿宋_GB2312" w:eastAsia="仿宋_GB2312" w:cs="宋体" w:hint="eastAsia"/>
                <w:color w:val="auto"/>
                <w:kern w:val="0"/>
                <w:sz w:val="28"/>
                <w:szCs w:val="28"/>
                <w:highlight w:val="auto"/>
              </w:rPr>
              <w:t>.</w:t>
            </w:r>
            <w:r>
              <w:rPr>
                <w:rFonts w:ascii="Times New Roman" w:eastAsia="仿宋_GB2312" w:cs="仿宋_GB2312" w:hAnsi="Times New Roman" w:hint="eastAsia"/>
                <w:color w:val="auto"/>
                <w:sz w:val="28"/>
                <w:szCs w:val="28"/>
                <w:highlight w:val="auto"/>
              </w:rPr>
              <w:t>熟悉民法典、公司法、劳动法、招投标法、建筑工程类等相关法律，熟悉公司合同管理体系和法律风险控制流程，具有诉讼仲裁实践经验，有良好的诉讼业绩，</w:t>
            </w:r>
            <w:r>
              <w:rPr>
                <w:rFonts w:ascii="仿宋_GB2312" w:eastAsia="仿宋_GB2312" w:cs="仿宋_GB2312" w:hint="eastAsia"/>
                <w:color w:val="auto"/>
                <w:kern w:val="0"/>
                <w:sz w:val="28"/>
                <w:szCs w:val="28"/>
                <w:highlight w:val="auto"/>
              </w:rPr>
              <w:t>具有</w:t>
            </w:r>
            <w:r>
              <w:rPr>
                <w:rFonts w:ascii="Times New Roman" w:eastAsia="仿宋_GB2312" w:cs="仿宋_GB2312" w:hAnsi="Times New Roman" w:hint="eastAsia"/>
                <w:color w:val="auto"/>
                <w:sz w:val="28"/>
                <w:szCs w:val="28"/>
                <w:highlight w:val="auto"/>
              </w:rPr>
              <w:t>法律事务工作经验者</w:t>
            </w:r>
            <w:r>
              <w:rPr>
                <w:rFonts w:ascii="仿宋_GB2312" w:eastAsia="仿宋_GB2312" w:cs="仿宋_GB2312" w:hint="eastAsia"/>
                <w:color w:val="auto"/>
                <w:kern w:val="0"/>
                <w:sz w:val="28"/>
                <w:szCs w:val="28"/>
                <w:highlight w:val="auto"/>
              </w:rPr>
              <w:t>优先</w:t>
            </w:r>
            <w:r>
              <w:rPr>
                <w:rFonts w:ascii="Times New Roman" w:eastAsia="仿宋_GB2312" w:cs="仿宋_GB2312" w:hAnsi="Times New Roman" w:hint="eastAsia"/>
                <w:color w:val="auto"/>
                <w:sz w:val="28"/>
                <w:szCs w:val="28"/>
                <w:highlight w:val="auto"/>
              </w:rPr>
              <w:t>。</w:t>
            </w:r>
          </w:p>
        </w:tc>
      </w:tr>
      <w:tr>
        <w:trPr>
          <w:trHeight w:val="257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/>
              <w:jc w:val="center"/>
              <w:rPr>
                <w:rFonts w:ascii="仿宋_GB2312" w:eastAsia="仿宋_GB2312" w:cs="宋体" w:hint="eastAsia"/>
                <w:color w:val="auto"/>
                <w:kern w:val="0"/>
                <w:sz w:val="28"/>
                <w:szCs w:val="28"/>
                <w:lang w:eastAsia="zh-CN"/>
                <w:highlight w:val="auto"/>
              </w:rPr>
            </w:pPr>
            <w:r>
              <w:rPr>
                <w:rFonts w:ascii="Times New Roman" w:eastAsia="仿宋_GB2312" w:cs="宋体" w:hAnsi="Times New Roman" w:hint="eastAsia"/>
                <w:color w:val="auto"/>
                <w:kern w:val="0"/>
                <w:sz w:val="28"/>
                <w:szCs w:val="28"/>
                <w:lang w:val="en-US" w:eastAsia="zh-CN"/>
                <w:highlight w:val="auto"/>
              </w:rPr>
              <w:t>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/>
              <w:jc w:val="center"/>
              <w:rPr>
                <w:rFonts w:ascii="仿宋_GB2312" w:eastAsia="仿宋_GB2312" w:cs="仿宋_GB2312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仿宋_GB2312" w:eastAsia="仿宋_GB2312" w:cs="仿宋_GB2312" w:hint="eastAsia"/>
                <w:color w:val="auto"/>
                <w:kern w:val="0"/>
                <w:sz w:val="28"/>
                <w:szCs w:val="28"/>
                <w:highlight w:val="auto"/>
              </w:rPr>
              <w:t>工程管理类人员等同部门</w:t>
            </w:r>
            <w:r>
              <w:rPr>
                <w:rFonts w:ascii="仿宋_GB2312" w:eastAsia="仿宋_GB2312" w:cs="仿宋_GB2312" w:hint="eastAsia"/>
                <w:color w:val="auto"/>
                <w:kern w:val="0"/>
                <w:sz w:val="28"/>
                <w:szCs w:val="28"/>
                <w:lang w:eastAsia="zh-CN"/>
                <w:highlight w:val="auto"/>
              </w:rPr>
              <w:t>副</w:t>
            </w:r>
            <w:r>
              <w:rPr>
                <w:rFonts w:ascii="仿宋_GB2312" w:eastAsia="仿宋_GB2312" w:cs="仿宋_GB2312" w:hint="eastAsia"/>
                <w:color w:val="auto"/>
                <w:kern w:val="0"/>
                <w:sz w:val="28"/>
                <w:szCs w:val="28"/>
                <w:highlight w:val="auto"/>
              </w:rPr>
              <w:t>经理岗位职务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/>
              <w:jc w:val="center"/>
              <w:rPr>
                <w:rFonts w:ascii="仿宋_GB2312" w:eastAsia="仿宋_GB2312" w:cs="宋体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8"/>
                <w:szCs w:val="28"/>
                <w:highlight w:val="auto"/>
              </w:rPr>
              <w:t>（201）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/>
              <w:jc w:val="center"/>
              <w:rPr>
                <w:rFonts w:ascii="仿宋_GB2312" w:eastAsia="仿宋_GB2312" w:cs="宋体" w:hint="eastAsia"/>
                <w:color w:val="auto"/>
                <w:kern w:val="0"/>
                <w:sz w:val="28"/>
                <w:szCs w:val="28"/>
                <w:lang w:eastAsia="zh-CN"/>
                <w:highlight w:val="auto"/>
              </w:rPr>
            </w:pPr>
            <w:r>
              <w:rPr>
                <w:rFonts w:ascii="Times New Roman" w:eastAsia="仿宋_GB2312" w:cs="宋体" w:hAnsi="Times New Roman" w:hint="eastAsia"/>
                <w:color w:val="auto"/>
                <w:kern w:val="0"/>
                <w:sz w:val="28"/>
                <w:szCs w:val="28"/>
                <w:lang w:val="en-US" w:eastAsia="zh-CN"/>
                <w:highlight w:val="auto"/>
              </w:rPr>
              <w:t>2</w:t>
            </w:r>
          </w:p>
        </w:tc>
        <w:tc>
          <w:tcPr>
            <w:tcW w:w="9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/>
              <w:jc w:val="left"/>
              <w:rPr>
                <w:rFonts w:ascii="仿宋_GB2312" w:eastAsia="仿宋_GB2312" w:cs="仿宋_GB2312" w:hint="eastAsia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Times New Roman" w:eastAsia="仿宋_GB2312" w:cs="仿宋_GB2312" w:hAnsi="Times New Roman" w:hint="eastAsia"/>
                <w:color w:val="auto"/>
                <w:kern w:val="0"/>
                <w:sz w:val="28"/>
                <w:szCs w:val="28"/>
                <w:highlight w:val="auto"/>
              </w:rPr>
              <w:t>1</w:t>
            </w:r>
            <w:r>
              <w:rPr>
                <w:rFonts w:ascii="仿宋_GB2312" w:eastAsia="仿宋_GB2312" w:cs="仿宋_GB2312" w:hint="eastAsia"/>
                <w:color w:val="auto"/>
                <w:kern w:val="0"/>
                <w:sz w:val="28"/>
                <w:szCs w:val="28"/>
                <w:highlight w:val="auto"/>
              </w:rPr>
              <w:t>.城乡规划</w:t>
            </w:r>
            <w:r>
              <w:rPr>
                <w:rFonts w:ascii="仿宋_GB2312" w:eastAsia="仿宋_GB2312" w:cs="仿宋_GB2312" w:hint="eastAsia"/>
                <w:color w:val="auto"/>
                <w:kern w:val="0"/>
                <w:sz w:val="28"/>
                <w:szCs w:val="28"/>
                <w:lang w:val="en-US" w:eastAsia="zh-CN"/>
                <w:highlight w:val="auto"/>
              </w:rPr>
              <w:t>（学）</w:t>
            </w:r>
            <w:r>
              <w:rPr>
                <w:rFonts w:ascii="仿宋_GB2312" w:eastAsia="仿宋_GB2312" w:cs="仿宋_GB2312" w:hint="eastAsia"/>
                <w:color w:val="auto"/>
                <w:kern w:val="0"/>
                <w:sz w:val="28"/>
                <w:szCs w:val="28"/>
                <w:highlight w:val="auto"/>
              </w:rPr>
              <w:t>、城市规划、城市规划与设计、城市园林规划管理、景观建筑设计、建筑设计技术、土建设计施工，工程造价、工程造价管理、设计学专业，普通高校全日制硕士研究生及以上</w:t>
            </w:r>
            <w:r>
              <w:rPr>
                <w:rFonts w:ascii="仿宋_GB2312" w:eastAsia="仿宋_GB2312" w:cs="仿宋_GB2312" w:hint="eastAsia"/>
                <w:color w:val="auto"/>
                <w:kern w:val="0"/>
                <w:sz w:val="28"/>
                <w:szCs w:val="28"/>
                <w:lang w:eastAsia="zh-CN"/>
                <w:highlight w:val="auto"/>
              </w:rPr>
              <w:t>学历</w:t>
            </w:r>
            <w:r>
              <w:rPr>
                <w:rFonts w:ascii="仿宋_GB2312" w:eastAsia="仿宋_GB2312" w:cs="仿宋_GB2312" w:hint="eastAsia"/>
                <w:color w:val="auto"/>
                <w:kern w:val="0"/>
                <w:sz w:val="28"/>
                <w:szCs w:val="28"/>
                <w:highlight w:val="auto"/>
              </w:rPr>
              <w:t>毕业生，具有硕士</w:t>
            </w:r>
            <w:r>
              <w:rPr>
                <w:rFonts w:ascii="仿宋_GB2312" w:eastAsia="仿宋_GB2312" w:cs="宋体" w:hint="eastAsia"/>
                <w:color w:val="auto"/>
                <w:kern w:val="0"/>
                <w:sz w:val="28"/>
                <w:szCs w:val="28"/>
                <w:lang w:eastAsia="zh-CN"/>
                <w:highlight w:val="auto"/>
              </w:rPr>
              <w:t>及以上</w:t>
            </w:r>
            <w:r>
              <w:rPr>
                <w:rFonts w:ascii="仿宋_GB2312" w:eastAsia="仿宋_GB2312" w:cs="仿宋_GB2312" w:hint="eastAsia"/>
                <w:color w:val="auto"/>
                <w:kern w:val="0"/>
                <w:sz w:val="28"/>
                <w:szCs w:val="28"/>
                <w:highlight w:val="auto"/>
              </w:rPr>
              <w:t>学位；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/>
              <w:jc w:val="left"/>
              <w:rPr>
                <w:rFonts w:ascii="仿宋_GB2312" w:eastAsia="仿宋_GB2312" w:cs="宋体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Times New Roman" w:eastAsia="仿宋_GB2312" w:cs="宋体" w:hAnsi="Times New Roman" w:hint="eastAsia"/>
                <w:color w:val="auto"/>
                <w:kern w:val="0"/>
                <w:sz w:val="28"/>
                <w:szCs w:val="28"/>
                <w:highlight w:val="auto"/>
              </w:rPr>
              <w:t>2</w:t>
            </w:r>
            <w:r>
              <w:rPr>
                <w:rFonts w:ascii="仿宋_GB2312" w:eastAsia="仿宋_GB2312" w:cs="宋体" w:hint="eastAsia"/>
                <w:color w:val="auto"/>
                <w:kern w:val="0"/>
                <w:sz w:val="28"/>
                <w:szCs w:val="28"/>
                <w:highlight w:val="auto"/>
              </w:rPr>
              <w:t>.</w:t>
            </w:r>
            <w:r>
              <w:rPr>
                <w:rFonts w:ascii="仿宋_GB2312" w:eastAsia="仿宋_GB2312" w:cs="仿宋_GB2312" w:hint="eastAsia"/>
                <w:color w:val="auto"/>
                <w:kern w:val="0"/>
                <w:sz w:val="28"/>
                <w:szCs w:val="28"/>
                <w:highlight w:val="auto"/>
              </w:rPr>
              <w:t>具</w:t>
            </w:r>
            <w:r>
              <w:rPr>
                <w:rFonts w:ascii="仿宋_GB2312" w:eastAsia="仿宋_GB2312" w:cs="仿宋_GB2312" w:hint="eastAsia"/>
                <w:color w:val="auto"/>
                <w:kern w:val="0"/>
                <w:sz w:val="28"/>
                <w:szCs w:val="28"/>
                <w:lang w:eastAsia="zh-CN"/>
                <w:highlight w:val="auto"/>
              </w:rPr>
              <w:t>有</w:t>
            </w:r>
            <w:r>
              <w:rPr>
                <w:rFonts w:ascii="仿宋_GB2312" w:eastAsia="仿宋_GB2312" w:cs="仿宋_GB2312" w:hint="eastAsia"/>
                <w:color w:val="auto"/>
                <w:kern w:val="0"/>
                <w:sz w:val="28"/>
                <w:szCs w:val="28"/>
                <w:highlight w:val="auto"/>
              </w:rPr>
              <w:t>工程类管理工作经验和具有二级造价师及以上从业资格证书者优先。</w:t>
            </w:r>
          </w:p>
        </w:tc>
      </w:tr>
      <w:tr>
        <w:trPr>
          <w:trHeight w:val="173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/>
              <w:jc w:val="center"/>
              <w:rPr>
                <w:rFonts w:ascii="仿宋_GB2312" w:eastAsia="仿宋_GB2312" w:cs="宋体" w:hint="eastAsia"/>
                <w:color w:val="auto"/>
                <w:kern w:val="0"/>
                <w:sz w:val="28"/>
                <w:szCs w:val="28"/>
                <w:lang w:val="en-US" w:eastAsia="zh-CN"/>
                <w:highlight w:val="auto"/>
              </w:rPr>
            </w:pPr>
            <w:r>
              <w:rPr>
                <w:rFonts w:ascii="Times New Roman" w:eastAsia="仿宋_GB2312" w:cs="Times New Roman" w:hAnsi="Times New Roman"/>
                <w:color w:val="auto"/>
                <w:kern w:val="0"/>
                <w:sz w:val="28"/>
                <w:szCs w:val="28"/>
                <w:lang w:val="en-US" w:eastAsia="zh-CN"/>
                <w:highlight w:val="auto"/>
              </w:rPr>
              <w:t>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/>
              <w:jc w:val="center"/>
              <w:textAlignment w:val="center"/>
              <w:rPr>
                <w:rFonts w:ascii="仿宋_GB2312" w:eastAsia="仿宋_GB2312" w:cs="宋体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仿宋_GB2312" w:eastAsia="仿宋_GB2312" w:cs="宋体" w:hint="eastAsia"/>
                <w:color w:val="auto"/>
                <w:kern w:val="0"/>
                <w:sz w:val="28"/>
                <w:szCs w:val="28"/>
                <w:highlight w:val="auto"/>
              </w:rPr>
              <w:t>矿业类人员</w:t>
            </w:r>
            <w:r>
              <w:rPr>
                <w:rFonts w:ascii="仿宋_GB2312" w:eastAsia="仿宋_GB2312" w:cs="仿宋_GB2312" w:hint="eastAsia"/>
                <w:color w:val="auto"/>
                <w:kern w:val="0"/>
                <w:sz w:val="28"/>
                <w:szCs w:val="28"/>
                <w:highlight w:val="auto"/>
              </w:rPr>
              <w:t>等同二级以下企业</w:t>
            </w:r>
            <w:r>
              <w:rPr>
                <w:rFonts w:ascii="仿宋_GB2312" w:eastAsia="仿宋_GB2312" w:cs="仿宋_GB2312" w:hint="eastAsia"/>
                <w:color w:val="auto"/>
                <w:kern w:val="0"/>
                <w:sz w:val="28"/>
                <w:szCs w:val="28"/>
                <w:lang w:eastAsia="zh-CN"/>
                <w:highlight w:val="auto"/>
              </w:rPr>
              <w:t>副</w:t>
            </w:r>
            <w:r>
              <w:rPr>
                <w:rFonts w:ascii="仿宋_GB2312" w:eastAsia="仿宋_GB2312" w:cs="仿宋_GB2312" w:hint="eastAsia"/>
                <w:color w:val="auto"/>
                <w:kern w:val="0"/>
                <w:sz w:val="28"/>
                <w:szCs w:val="28"/>
                <w:highlight w:val="auto"/>
              </w:rPr>
              <w:t>经理岗位职务</w:t>
            </w:r>
            <w:r>
              <w:rPr>
                <w:rFonts w:ascii="仿宋_GB2312" w:eastAsia="仿宋_GB2312" w:cs="仿宋_GB2312"/>
                <w:color w:val="auto"/>
                <w:kern w:val="0"/>
                <w:sz w:val="28"/>
                <w:szCs w:val="28"/>
                <w:highlight w:val="auto"/>
              </w:rPr>
              <w:t>（202）</w:t>
            </w:r>
            <w:bookmarkStart w:id="0" w:name="_GoBack"/>
            <w:bookmarkEnd w:id="0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/>
              <w:jc w:val="center"/>
              <w:rPr>
                <w:rFonts w:ascii="仿宋_GB2312" w:eastAsia="仿宋_GB2312" w:cs="宋体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Times New Roman" w:eastAsia="仿宋_GB2312" w:cs="宋体" w:hAnsi="Times New Roman" w:hint="eastAsia"/>
                <w:color w:val="auto"/>
                <w:kern w:val="0"/>
                <w:sz w:val="28"/>
                <w:szCs w:val="28"/>
                <w:highlight w:val="auto"/>
              </w:rPr>
              <w:t>1</w:t>
            </w:r>
          </w:p>
        </w:tc>
        <w:tc>
          <w:tcPr>
            <w:tcW w:w="9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/>
              <w:jc w:val="left"/>
              <w:rPr>
                <w:rFonts w:ascii="仿宋_GB2312" w:eastAsia="仿宋_GB2312" w:cs="宋体" w:hint="eastAsia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Times New Roman" w:eastAsia="仿宋_GB2312" w:cs="宋体" w:hAnsi="Times New Roman" w:hint="eastAsia"/>
                <w:color w:val="auto"/>
                <w:kern w:val="0"/>
                <w:sz w:val="28"/>
                <w:szCs w:val="28"/>
                <w:highlight w:val="auto"/>
              </w:rPr>
              <w:t>1</w:t>
            </w:r>
            <w:r>
              <w:rPr>
                <w:rFonts w:ascii="仿宋_GB2312" w:eastAsia="仿宋_GB2312" w:cs="宋体" w:hint="eastAsia"/>
                <w:color w:val="auto"/>
                <w:kern w:val="0"/>
                <w:sz w:val="28"/>
                <w:szCs w:val="28"/>
                <w:highlight w:val="auto"/>
              </w:rPr>
              <w:t>.地矿类专业，普通高校全日制硕士研究生及以上</w:t>
            </w:r>
            <w:r>
              <w:rPr>
                <w:rFonts w:ascii="仿宋_GB2312" w:eastAsia="仿宋_GB2312" w:cs="宋体" w:hint="eastAsia"/>
                <w:color w:val="auto"/>
                <w:kern w:val="0"/>
                <w:sz w:val="28"/>
                <w:szCs w:val="28"/>
                <w:lang w:eastAsia="zh-CN"/>
                <w:highlight w:val="auto"/>
              </w:rPr>
              <w:t>学历</w:t>
            </w:r>
            <w:r>
              <w:rPr>
                <w:rFonts w:ascii="仿宋_GB2312" w:eastAsia="仿宋_GB2312" w:cs="宋体" w:hint="eastAsia"/>
                <w:color w:val="auto"/>
                <w:kern w:val="0"/>
                <w:sz w:val="28"/>
                <w:szCs w:val="28"/>
                <w:highlight w:val="auto"/>
              </w:rPr>
              <w:t>毕业生，具有硕士</w:t>
            </w:r>
            <w:r>
              <w:rPr>
                <w:rFonts w:ascii="仿宋_GB2312" w:eastAsia="仿宋_GB2312" w:cs="宋体" w:hint="eastAsia"/>
                <w:color w:val="auto"/>
                <w:kern w:val="0"/>
                <w:sz w:val="28"/>
                <w:szCs w:val="28"/>
                <w:lang w:eastAsia="zh-CN"/>
                <w:highlight w:val="auto"/>
              </w:rPr>
              <w:t>及以上</w:t>
            </w:r>
            <w:r>
              <w:rPr>
                <w:rFonts w:ascii="仿宋_GB2312" w:eastAsia="仿宋_GB2312" w:cs="宋体" w:hint="eastAsia"/>
                <w:color w:val="auto"/>
                <w:kern w:val="0"/>
                <w:sz w:val="28"/>
                <w:szCs w:val="28"/>
                <w:highlight w:val="auto"/>
              </w:rPr>
              <w:t>学位；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right="0"/>
              <w:jc w:val="left"/>
              <w:rPr>
                <w:rFonts w:ascii="仿宋_GB2312" w:eastAsia="仿宋_GB2312" w:cs="宋体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Times New Roman" w:eastAsia="仿宋_GB2312" w:cs="宋体" w:hAnsi="Times New Roman" w:hint="eastAsia"/>
                <w:color w:val="auto"/>
                <w:kern w:val="0"/>
                <w:sz w:val="28"/>
                <w:szCs w:val="28"/>
                <w:highlight w:val="auto"/>
              </w:rPr>
              <w:t>2</w:t>
            </w:r>
            <w:r>
              <w:rPr>
                <w:rFonts w:ascii="仿宋_GB2312" w:eastAsia="仿宋_GB2312" w:cs="宋体" w:hint="eastAsia"/>
                <w:color w:val="auto"/>
                <w:kern w:val="0"/>
                <w:sz w:val="28"/>
                <w:szCs w:val="28"/>
                <w:highlight w:val="auto"/>
              </w:rPr>
              <w:t>.有较高的专业技术水平，</w:t>
            </w:r>
            <w:r>
              <w:rPr>
                <w:rFonts w:ascii="仿宋_GB2312" w:eastAsia="仿宋_GB2312" w:cs="仿宋_GB2312" w:hint="eastAsia"/>
                <w:color w:val="auto"/>
                <w:kern w:val="0"/>
                <w:sz w:val="28"/>
                <w:szCs w:val="28"/>
                <w:highlight w:val="auto"/>
              </w:rPr>
              <w:t>具</w:t>
            </w:r>
            <w:r>
              <w:rPr>
                <w:rFonts w:ascii="仿宋_GB2312" w:eastAsia="仿宋_GB2312" w:cs="宋体" w:hint="eastAsia"/>
                <w:color w:val="auto"/>
                <w:kern w:val="0"/>
                <w:sz w:val="28"/>
                <w:szCs w:val="28"/>
                <w:highlight w:val="auto"/>
              </w:rPr>
              <w:t>有矿业相关工作经验者优先。</w:t>
            </w:r>
          </w:p>
        </w:tc>
      </w:tr>
    </w:tbl>
    <w:p>
      <w:pPr>
        <w:pStyle w:val="1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="0" w:afterAutospacing="0" w:line="560" w:lineRule="exact"/>
        <w:ind w:left="0" w:right="0" w:firstLineChars="300" w:firstLine="840"/>
        <w:rPr>
          <w:rFonts w:ascii="仿宋_GB2312" w:eastAsia="仿宋_GB2312" w:cs="仿宋_GB2312"/>
          <w:color w:val="auto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pgNumType/>
          <w:docGrid w:type="lines" w:linePitch="312" w:charSpace="0"/>
        </w:sectPr>
      </w:pPr>
      <w:r>
        <w:rPr>
          <w:rFonts w:ascii="仿宋_GB2312" w:eastAsia="仿宋_GB2312" w:cs="仿宋_GB2312" w:hint="eastAsia"/>
          <w:color w:val="auto"/>
          <w:sz w:val="28"/>
          <w:szCs w:val="28"/>
        </w:rPr>
        <w:t>注：上述任职资格条件中的专业要求以《福建省机关事业单位招考专业指导目录（</w:t>
      </w:r>
      <w:r>
        <w:rPr>
          <w:rFonts w:ascii="Times New Roman" w:eastAsia="仿宋_GB2312" w:cs="Times New Roman" w:hAnsi="Times New Roman"/>
          <w:color w:val="auto"/>
          <w:sz w:val="28"/>
          <w:szCs w:val="28"/>
        </w:rPr>
        <w:t>2021</w:t>
      </w:r>
      <w:r>
        <w:rPr>
          <w:rFonts w:ascii="仿宋_GB2312" w:eastAsia="仿宋_GB2312" w:cs="仿宋_GB2312" w:hint="eastAsia"/>
          <w:color w:val="auto"/>
          <w:sz w:val="28"/>
          <w:szCs w:val="28"/>
        </w:rPr>
        <w:t>年）》为准。</w:t>
      </w:r>
    </w:p>
    <w:p/>
    <w:sectPr>
      <w:pgSz w:w="16838" w:h="11906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  <w:style w:type="paragraph" w:styleId="16">
    <w:name w:val="Body Text"/>
    <w:next w:val="15"/>
    <w:pPr>
      <w:widowControl w:val="0"/>
      <w:spacing w:afterAutospacing="0" w:line="600" w:lineRule="exact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7">
    <w:name w:val="Body Text First Indent"/>
    <w:pPr>
      <w:widowControl w:val="0"/>
      <w:spacing w:after="120" w:afterAutospacing="0" w:line="240" w:lineRule="auto"/>
      <w:ind w:firstLineChars="100" w:firstLine="10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4</Pages>
  <Words>784</Words>
  <Characters>803</Characters>
  <Lines>57</Lines>
  <Paragraphs>30</Paragraphs>
  <CharactersWithSpaces>802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2022-01-17T07:45:03Z</dcterms:modified>
</cp:coreProperties>
</file>